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F3" w:rsidRDefault="00044AF3" w:rsidP="00044AF3">
      <w:pPr>
        <w:adjustRightInd w:val="0"/>
        <w:rPr>
          <w:rFonts w:ascii="TT3E3o00" w:hAnsi="TT3E3o00" w:cs="TT3E3o00"/>
          <w:b/>
        </w:rPr>
      </w:pPr>
      <w:bookmarkStart w:id="0" w:name="_GoBack"/>
      <w:bookmarkEnd w:id="0"/>
      <w:r>
        <w:rPr>
          <w:rFonts w:ascii="TT3E3o00" w:hAnsi="TT3E3o00" w:cs="TT3E3o00"/>
          <w:b/>
        </w:rPr>
        <w:t>FINANCIAL</w:t>
      </w:r>
      <w:r w:rsidRPr="008A5C68">
        <w:rPr>
          <w:rFonts w:ascii="TT3E3o00" w:hAnsi="TT3E3o00" w:cs="TT3E3o00"/>
          <w:b/>
        </w:rPr>
        <w:t xml:space="preserve"> COMPLAINT PROCESS</w:t>
      </w:r>
      <w:r>
        <w:rPr>
          <w:rFonts w:ascii="TT3E3o00" w:hAnsi="TT3E3o00" w:cs="TT3E3o00"/>
          <w:b/>
        </w:rPr>
        <w:t>*</w:t>
      </w:r>
    </w:p>
    <w:p w:rsidR="00044AF3" w:rsidRDefault="00044AF3" w:rsidP="00044AF3">
      <w:pPr>
        <w:adjustRightInd w:val="0"/>
        <w:rPr>
          <w:rFonts w:ascii="TT3E3o00" w:hAnsi="TT3E3o00" w:cs="TT3E3o00"/>
          <w:b/>
        </w:rPr>
      </w:pPr>
    </w:p>
    <w:p w:rsidR="00044AF3" w:rsidRDefault="00044AF3" w:rsidP="00044AF3">
      <w:pPr>
        <w:adjustRightInd w:val="0"/>
        <w:rPr>
          <w:rFonts w:ascii="TT3E3o00" w:hAnsi="TT3E3o00" w:cs="TT3E3o00"/>
          <w:b/>
        </w:rPr>
      </w:pPr>
      <w:r>
        <w:rPr>
          <w:rFonts w:ascii="TT3E3o00" w:hAnsi="TT3E3o00" w:cs="TT3E3o00"/>
          <w:b/>
        </w:rPr>
        <w:t xml:space="preserve">* - Toll Free No: </w:t>
      </w:r>
      <w:r w:rsidRPr="00C02D51">
        <w:rPr>
          <w:rFonts w:ascii="TT3E3o00" w:hAnsi="TT3E3o00" w:cs="TT3E3o00"/>
          <w:b/>
        </w:rPr>
        <w:t>1300 726 678</w:t>
      </w:r>
      <w:r>
        <w:rPr>
          <w:rFonts w:ascii="TT3E3o00" w:hAnsi="TT3E3o00" w:cs="TT3E3o00"/>
          <w:b/>
        </w:rPr>
        <w:t xml:space="preserve"> (if 0407 867 157 is not answering)</w:t>
      </w:r>
    </w:p>
    <w:p w:rsidR="00044AF3" w:rsidRDefault="00044AF3" w:rsidP="00044AF3">
      <w:pPr>
        <w:adjustRightInd w:val="0"/>
        <w:rPr>
          <w:rFonts w:ascii="TT3E3o00" w:hAnsi="TT3E3o00" w:cs="TT3E3o00"/>
          <w:b/>
        </w:rPr>
      </w:pPr>
      <w:r>
        <w:rPr>
          <w:rFonts w:ascii="TT3E3o00" w:hAnsi="TT3E3o00" w:cs="TT3E3o00"/>
          <w:b/>
        </w:rPr>
        <w:t xml:space="preserve">      Email: info@myrecycledwater.com.au</w:t>
      </w:r>
    </w:p>
    <w:p w:rsidR="00044AF3" w:rsidRDefault="00044AF3" w:rsidP="00044AF3">
      <w:pPr>
        <w:adjustRightInd w:val="0"/>
        <w:spacing w:before="120"/>
        <w:rPr>
          <w:rFonts w:ascii="TT3D7o00" w:hAnsi="TT3D7o00" w:cs="TT3D7o00"/>
        </w:rPr>
      </w:pPr>
    </w:p>
    <w:p w:rsidR="00044AF3" w:rsidRDefault="00044AF3" w:rsidP="00044AF3">
      <w:pPr>
        <w:pStyle w:val="BodyText"/>
        <w:jc w:val="both"/>
      </w:pPr>
      <w:r>
        <w:t>As JLL is the sole commercial customer for RWTP and also the asset owner’s representative, and there is no financial transactions from JLL to any other customer (other than internal), other than fees to be payable by JLL to VWS in accordance with contract between VWS and JLL, financial complaint process is no applicable for this license.</w:t>
      </w:r>
    </w:p>
    <w:p w:rsidR="00044AF3" w:rsidRDefault="00044AF3" w:rsidP="00044AF3">
      <w:pPr>
        <w:rPr>
          <w:b/>
          <w:bCs/>
          <w:sz w:val="20"/>
          <w:szCs w:val="20"/>
        </w:rPr>
      </w:pPr>
    </w:p>
    <w:p w:rsidR="00044AF3" w:rsidRDefault="00044AF3" w:rsidP="00044AF3">
      <w:pPr>
        <w:pStyle w:val="BodyText"/>
      </w:pPr>
    </w:p>
    <w:p w:rsidR="00044AF3" w:rsidRDefault="00044AF3" w:rsidP="00044AF3">
      <w:pPr>
        <w:pStyle w:val="Heading4"/>
        <w:spacing w:before="0"/>
      </w:pPr>
      <w:r>
        <w:t>Code of Practice for Debt Recovery</w:t>
      </w:r>
    </w:p>
    <w:p w:rsidR="00044AF3" w:rsidRDefault="00044AF3" w:rsidP="00044AF3">
      <w:pPr>
        <w:pStyle w:val="Heading4"/>
        <w:spacing w:before="0"/>
      </w:pPr>
    </w:p>
    <w:p w:rsidR="006F11EC" w:rsidRDefault="00044AF3" w:rsidP="00044AF3">
      <w:pPr>
        <w:pStyle w:val="BodyText"/>
        <w:ind w:left="270"/>
        <w:jc w:val="both"/>
      </w:pPr>
      <w:r w:rsidRPr="00A4313E">
        <w:t xml:space="preserve">As JLL is the sole commercial customer for RWTP and </w:t>
      </w:r>
      <w:r w:rsidRPr="001627D2">
        <w:t>at the same time</w:t>
      </w:r>
      <w:r w:rsidRPr="00A4313E">
        <w:t xml:space="preserve"> the asset owner’s representative, </w:t>
      </w:r>
      <w:r w:rsidRPr="001627D2">
        <w:t xml:space="preserve">so JLL as the Customer technically not be the debt holder to the asset owner (itself) – </w:t>
      </w:r>
    </w:p>
    <w:p w:rsidR="006F11EC" w:rsidRDefault="006F11EC" w:rsidP="00044AF3">
      <w:pPr>
        <w:pStyle w:val="BodyText"/>
        <w:ind w:left="270"/>
        <w:jc w:val="both"/>
      </w:pPr>
    </w:p>
    <w:p w:rsidR="00044AF3" w:rsidRPr="00FD3030" w:rsidRDefault="00044AF3" w:rsidP="00044AF3">
      <w:pPr>
        <w:pStyle w:val="BodyText"/>
        <w:ind w:left="270"/>
        <w:jc w:val="both"/>
      </w:pPr>
      <w:r w:rsidRPr="001627D2">
        <w:t xml:space="preserve">However, JLL may have </w:t>
      </w:r>
      <w:r w:rsidRPr="00A4313E">
        <w:t xml:space="preserve">financial </w:t>
      </w:r>
      <w:r w:rsidRPr="001627D2">
        <w:t>liability</w:t>
      </w:r>
      <w:r w:rsidRPr="00A4313E">
        <w:t xml:space="preserve"> </w:t>
      </w:r>
      <w:r w:rsidRPr="001627D2">
        <w:t>as asset owner</w:t>
      </w:r>
      <w:r w:rsidRPr="00A4313E">
        <w:t xml:space="preserve"> </w:t>
      </w:r>
      <w:r w:rsidRPr="001627D2">
        <w:t xml:space="preserve">to parties involved in RWTP (such as VWS and its suppliers and service providers) such the </w:t>
      </w:r>
      <w:r w:rsidRPr="00A4313E">
        <w:t xml:space="preserve">fees to be payable by JLL to VWS in accordance with contract between VWS and JLL, </w:t>
      </w:r>
      <w:r w:rsidRPr="001627D2">
        <w:t>T</w:t>
      </w:r>
      <w:r w:rsidRPr="00A4313E">
        <w:t xml:space="preserve">he following pages describe a Debt Recovery Code of Practice that </w:t>
      </w:r>
      <w:r w:rsidRPr="001627D2">
        <w:t>may apply in both a theoretical situation of JLL (Customer) contacting JLL (Asset Owner) in relation to a debt by JLL (Customer)</w:t>
      </w:r>
    </w:p>
    <w:p w:rsidR="00044AF3" w:rsidRDefault="00044AF3" w:rsidP="00044AF3">
      <w:pPr>
        <w:pStyle w:val="BodyText"/>
        <w:spacing w:before="6"/>
        <w:ind w:left="270"/>
        <w:jc w:val="both"/>
        <w:rPr>
          <w:b/>
          <w:sz w:val="18"/>
        </w:rPr>
      </w:pPr>
    </w:p>
    <w:p w:rsidR="00044AF3" w:rsidRDefault="00044AF3" w:rsidP="00044AF3">
      <w:pPr>
        <w:pStyle w:val="Heading4"/>
        <w:spacing w:before="0"/>
      </w:pPr>
      <w:r>
        <w:t>PURPOSE</w:t>
      </w:r>
    </w:p>
    <w:p w:rsidR="00044AF3" w:rsidRDefault="00044AF3" w:rsidP="00044AF3">
      <w:pPr>
        <w:pStyle w:val="BodyText"/>
        <w:spacing w:before="3"/>
        <w:ind w:left="305" w:right="211"/>
        <w:jc w:val="both"/>
      </w:pPr>
    </w:p>
    <w:p w:rsidR="00044AF3" w:rsidRDefault="00044AF3" w:rsidP="00044AF3">
      <w:pPr>
        <w:pStyle w:val="BodyText"/>
        <w:spacing w:before="3"/>
        <w:ind w:left="305" w:right="211"/>
        <w:jc w:val="both"/>
      </w:pPr>
      <w:r>
        <w:t xml:space="preserve">This code of practice provides a guideline for debt recovery by management and employees of Veolia Water Solutions &amp; Technologies (Australia) Pty Ltd (VWS) in relation to its Recycled Water Network Operator and Retail Supplier Licences for the Darling Quarters Development pursuant to the Water Industry Competition (General) Regulation 2008, Schedule 2, Part 1, </w:t>
      </w:r>
      <w:proofErr w:type="gramStart"/>
      <w:r>
        <w:t>Cl</w:t>
      </w:r>
      <w:proofErr w:type="gramEnd"/>
      <w:r>
        <w:t xml:space="preserve"> 5.</w:t>
      </w:r>
    </w:p>
    <w:p w:rsidR="00044AF3" w:rsidRDefault="00044AF3" w:rsidP="00044AF3">
      <w:pPr>
        <w:pStyle w:val="Heading4"/>
      </w:pPr>
    </w:p>
    <w:p w:rsidR="00044AF3" w:rsidRDefault="00044AF3" w:rsidP="00044AF3">
      <w:pPr>
        <w:pStyle w:val="Heading4"/>
      </w:pPr>
      <w:r>
        <w:t>BACKGROUND</w:t>
      </w:r>
    </w:p>
    <w:p w:rsidR="00044AF3" w:rsidRDefault="00044AF3" w:rsidP="00044AF3">
      <w:pPr>
        <w:pStyle w:val="Heading4"/>
      </w:pPr>
    </w:p>
    <w:p w:rsidR="00044AF3" w:rsidRDefault="00044AF3" w:rsidP="00044AF3">
      <w:pPr>
        <w:pStyle w:val="BodyText"/>
        <w:spacing w:before="2"/>
        <w:ind w:left="305" w:right="207"/>
        <w:jc w:val="both"/>
      </w:pPr>
      <w:r>
        <w:t>VWS has been contracted by JLL to supply recycle water services for the Darling Quarters Development</w:t>
      </w:r>
      <w:proofErr w:type="gramStart"/>
      <w:r>
        <w:t>..</w:t>
      </w:r>
      <w:proofErr w:type="gramEnd"/>
      <w:r>
        <w:t xml:space="preserve"> </w:t>
      </w:r>
    </w:p>
    <w:p w:rsidR="00044AF3" w:rsidRDefault="00044AF3" w:rsidP="00044AF3">
      <w:pPr>
        <w:pStyle w:val="Heading4"/>
        <w:spacing w:before="116"/>
        <w:jc w:val="both"/>
      </w:pPr>
    </w:p>
    <w:p w:rsidR="00044AF3" w:rsidRDefault="00044AF3" w:rsidP="00044AF3">
      <w:pPr>
        <w:pStyle w:val="Heading4"/>
        <w:spacing w:before="117"/>
      </w:pPr>
      <w:r>
        <w:t>GUIDING PRINCIPLES</w:t>
      </w:r>
    </w:p>
    <w:p w:rsidR="00044AF3" w:rsidRDefault="00044AF3" w:rsidP="00044AF3">
      <w:pPr>
        <w:pStyle w:val="BodyText"/>
        <w:spacing w:before="3"/>
        <w:ind w:left="305" w:right="214"/>
        <w:jc w:val="both"/>
      </w:pPr>
    </w:p>
    <w:p w:rsidR="00044AF3" w:rsidRDefault="00044AF3" w:rsidP="00044AF3">
      <w:pPr>
        <w:pStyle w:val="BodyText"/>
        <w:spacing w:before="3"/>
        <w:ind w:left="305" w:right="214"/>
        <w:jc w:val="both"/>
      </w:pPr>
      <w:r>
        <w:t xml:space="preserve">This code of practice conforms to and takes from ACCC and ASIC Debt Collection Guideline: for collectors and creditors as published by the ACCC and ASIC </w:t>
      </w:r>
      <w:proofErr w:type="spellStart"/>
      <w:r>
        <w:t>pubslished</w:t>
      </w:r>
      <w:proofErr w:type="spellEnd"/>
      <w:r>
        <w:t xml:space="preserve"> in July 2017.</w:t>
      </w:r>
    </w:p>
    <w:p w:rsidR="00044AF3" w:rsidRDefault="00044AF3" w:rsidP="00044AF3">
      <w:pPr>
        <w:pStyle w:val="BodyText"/>
        <w:spacing w:before="145"/>
        <w:ind w:left="305" w:right="209"/>
        <w:jc w:val="both"/>
      </w:pPr>
      <w:r>
        <w:t>Notably the ACCC/ASIC guideline is specifically developed for Debt Collection Agencies whereas this code of practice is for reference by VWS appointed personnel for handling debt recovery by VWS. Only when this code of practice is followed through to completion and debt remains with JLL, the sole customer, shall VWS transfer debt recovery to a third party debt collection</w:t>
      </w:r>
      <w:r>
        <w:rPr>
          <w:spacing w:val="-12"/>
        </w:rPr>
        <w:t xml:space="preserve"> </w:t>
      </w:r>
      <w:proofErr w:type="gramStart"/>
      <w:r>
        <w:t>company.</w:t>
      </w:r>
      <w:proofErr w:type="gramEnd"/>
    </w:p>
    <w:p w:rsidR="00044AF3" w:rsidRDefault="00044AF3" w:rsidP="00044AF3">
      <w:pPr>
        <w:pStyle w:val="Heading4"/>
        <w:spacing w:before="141"/>
      </w:pPr>
    </w:p>
    <w:p w:rsidR="00044AF3" w:rsidRDefault="00044AF3" w:rsidP="00044AF3">
      <w:pPr>
        <w:pStyle w:val="Heading4"/>
        <w:spacing w:before="141"/>
      </w:pPr>
      <w:r>
        <w:t>PRACTICAL GUIDANCE</w:t>
      </w:r>
    </w:p>
    <w:p w:rsidR="00044AF3" w:rsidRDefault="00044AF3" w:rsidP="00044AF3">
      <w:pPr>
        <w:pStyle w:val="Heading4"/>
        <w:spacing w:before="1"/>
      </w:pPr>
    </w:p>
    <w:p w:rsidR="00044AF3" w:rsidRDefault="00044AF3" w:rsidP="00044AF3">
      <w:pPr>
        <w:pStyle w:val="Heading4"/>
        <w:spacing w:before="1"/>
      </w:pPr>
      <w:r>
        <w:t>Contact for a reasonable purpose only</w:t>
      </w:r>
    </w:p>
    <w:p w:rsidR="00044AF3" w:rsidRDefault="00044AF3" w:rsidP="00044AF3">
      <w:pPr>
        <w:pStyle w:val="BodyText"/>
        <w:spacing w:before="1"/>
        <w:ind w:left="305" w:right="246"/>
      </w:pPr>
    </w:p>
    <w:p w:rsidR="00044AF3" w:rsidRDefault="00044AF3" w:rsidP="00044AF3">
      <w:pPr>
        <w:pStyle w:val="BodyText"/>
        <w:spacing w:before="1"/>
        <w:ind w:left="305" w:right="246"/>
      </w:pPr>
      <w:r>
        <w:t>Communications with the debtor (JLL, also asset owner’s representative) must always be for a reasonable purpose, and should only occur to the extent necessary. It is considered necessary and reasonable for VWS to contact a debtor to:</w:t>
      </w:r>
    </w:p>
    <w:p w:rsidR="00044AF3" w:rsidRPr="00FD3030" w:rsidRDefault="00044AF3" w:rsidP="00044AF3">
      <w:pPr>
        <w:pStyle w:val="ListParagraph"/>
        <w:numPr>
          <w:ilvl w:val="0"/>
          <w:numId w:val="2"/>
        </w:numPr>
        <w:tabs>
          <w:tab w:val="left" w:pos="662"/>
          <w:tab w:val="left" w:pos="663"/>
        </w:tabs>
        <w:ind w:left="662" w:hanging="357"/>
        <w:rPr>
          <w:sz w:val="20"/>
        </w:rPr>
      </w:pPr>
      <w:r>
        <w:rPr>
          <w:sz w:val="20"/>
        </w:rPr>
        <w:t>give information about the debtor‘s</w:t>
      </w:r>
      <w:r w:rsidRPr="00FD3030">
        <w:rPr>
          <w:sz w:val="20"/>
        </w:rPr>
        <w:t xml:space="preserve"> </w:t>
      </w:r>
      <w:r>
        <w:rPr>
          <w:sz w:val="20"/>
        </w:rPr>
        <w:t>account,</w:t>
      </w:r>
    </w:p>
    <w:p w:rsidR="00044AF3" w:rsidRDefault="00044AF3" w:rsidP="00044AF3">
      <w:pPr>
        <w:pStyle w:val="ListParagraph"/>
        <w:numPr>
          <w:ilvl w:val="0"/>
          <w:numId w:val="2"/>
        </w:numPr>
        <w:tabs>
          <w:tab w:val="left" w:pos="662"/>
          <w:tab w:val="left" w:pos="663"/>
        </w:tabs>
        <w:ind w:left="662" w:hanging="357"/>
        <w:rPr>
          <w:rFonts w:ascii="Wingdings"/>
          <w:sz w:val="20"/>
        </w:rPr>
      </w:pPr>
      <w:r>
        <w:rPr>
          <w:sz w:val="20"/>
        </w:rPr>
        <w:t>convey a demand for</w:t>
      </w:r>
      <w:r>
        <w:rPr>
          <w:spacing w:val="-6"/>
          <w:sz w:val="20"/>
        </w:rPr>
        <w:t xml:space="preserve"> </w:t>
      </w:r>
      <w:r>
        <w:rPr>
          <w:sz w:val="20"/>
        </w:rPr>
        <w:t>payment,</w:t>
      </w:r>
    </w:p>
    <w:p w:rsidR="00044AF3" w:rsidRDefault="00044AF3" w:rsidP="00044AF3">
      <w:pPr>
        <w:pStyle w:val="ListParagraph"/>
        <w:numPr>
          <w:ilvl w:val="0"/>
          <w:numId w:val="2"/>
        </w:numPr>
        <w:tabs>
          <w:tab w:val="left" w:pos="662"/>
          <w:tab w:val="left" w:pos="663"/>
        </w:tabs>
        <w:ind w:left="662" w:right="214" w:hanging="357"/>
        <w:rPr>
          <w:rFonts w:ascii="Wingdings"/>
          <w:sz w:val="20"/>
        </w:rPr>
      </w:pPr>
      <w:r>
        <w:rPr>
          <w:sz w:val="20"/>
        </w:rPr>
        <w:t xml:space="preserve">accurately explain the consequences of non-payment, including any legal remedies available to </w:t>
      </w:r>
      <w:r>
        <w:rPr>
          <w:sz w:val="20"/>
        </w:rPr>
        <w:lastRenderedPageBreak/>
        <w:t>the collector/creditor, and any service</w:t>
      </w:r>
      <w:r>
        <w:rPr>
          <w:spacing w:val="-9"/>
          <w:sz w:val="20"/>
        </w:rPr>
        <w:t xml:space="preserve"> </w:t>
      </w:r>
      <w:r>
        <w:rPr>
          <w:sz w:val="20"/>
        </w:rPr>
        <w:t>restrictions,</w:t>
      </w:r>
    </w:p>
    <w:p w:rsidR="00044AF3" w:rsidRPr="00A4313E" w:rsidRDefault="00044AF3" w:rsidP="00044AF3">
      <w:pPr>
        <w:pStyle w:val="ListParagraph"/>
        <w:numPr>
          <w:ilvl w:val="0"/>
          <w:numId w:val="2"/>
        </w:numPr>
        <w:tabs>
          <w:tab w:val="left" w:pos="662"/>
          <w:tab w:val="left" w:pos="663"/>
        </w:tabs>
        <w:ind w:left="662" w:hanging="357"/>
      </w:pPr>
      <w:r w:rsidRPr="001627D2">
        <w:rPr>
          <w:sz w:val="20"/>
        </w:rPr>
        <w:t>make arrangements for repayment of a</w:t>
      </w:r>
      <w:r w:rsidRPr="00FD3030">
        <w:rPr>
          <w:sz w:val="20"/>
        </w:rPr>
        <w:t xml:space="preserve"> </w:t>
      </w:r>
      <w:r w:rsidRPr="001627D2">
        <w:rPr>
          <w:sz w:val="20"/>
        </w:rPr>
        <w:t>debt,</w:t>
      </w:r>
    </w:p>
    <w:p w:rsidR="00044AF3" w:rsidRDefault="00044AF3" w:rsidP="00044AF3">
      <w:pPr>
        <w:pStyle w:val="ListParagraph"/>
        <w:numPr>
          <w:ilvl w:val="0"/>
          <w:numId w:val="2"/>
        </w:numPr>
        <w:tabs>
          <w:tab w:val="left" w:pos="663"/>
        </w:tabs>
        <w:spacing w:before="1"/>
        <w:ind w:left="662" w:hanging="357"/>
        <w:jc w:val="both"/>
        <w:rPr>
          <w:rFonts w:ascii="Wingdings"/>
          <w:sz w:val="20"/>
        </w:rPr>
      </w:pPr>
      <w:r>
        <w:rPr>
          <w:sz w:val="20"/>
        </w:rPr>
        <w:t>put a settlement proposal or alternative payment arrangement to the</w:t>
      </w:r>
      <w:r>
        <w:rPr>
          <w:spacing w:val="-4"/>
          <w:sz w:val="20"/>
        </w:rPr>
        <w:t xml:space="preserve"> </w:t>
      </w:r>
      <w:r>
        <w:rPr>
          <w:sz w:val="20"/>
        </w:rPr>
        <w:t>debtor,</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review existing arrangements after an agreed</w:t>
      </w:r>
      <w:r>
        <w:rPr>
          <w:spacing w:val="-6"/>
          <w:sz w:val="20"/>
        </w:rPr>
        <w:t xml:space="preserve"> </w:t>
      </w:r>
      <w:r>
        <w:rPr>
          <w:sz w:val="20"/>
        </w:rPr>
        <w:t>period,</w:t>
      </w:r>
    </w:p>
    <w:p w:rsidR="00044AF3" w:rsidRDefault="00044AF3" w:rsidP="00044AF3">
      <w:pPr>
        <w:pStyle w:val="ListParagraph"/>
        <w:numPr>
          <w:ilvl w:val="0"/>
          <w:numId w:val="2"/>
        </w:numPr>
        <w:tabs>
          <w:tab w:val="left" w:pos="662"/>
          <w:tab w:val="left" w:pos="663"/>
        </w:tabs>
        <w:ind w:left="662" w:right="216" w:hanging="357"/>
        <w:rPr>
          <w:rFonts w:ascii="Wingdings"/>
          <w:sz w:val="20"/>
        </w:rPr>
      </w:pPr>
      <w:r>
        <w:rPr>
          <w:sz w:val="20"/>
        </w:rPr>
        <w:t>ascertain why earlier attempts to contact the debtor have not been responded to within a reasonable period, if this is the case</w:t>
      </w:r>
      <w:r>
        <w:rPr>
          <w:spacing w:val="9"/>
          <w:sz w:val="20"/>
        </w:rPr>
        <w:t xml:space="preserve"> </w:t>
      </w:r>
      <w:r>
        <w:rPr>
          <w:sz w:val="20"/>
        </w:rPr>
        <w:t>and</w:t>
      </w:r>
    </w:p>
    <w:p w:rsidR="00044AF3" w:rsidRDefault="00044AF3" w:rsidP="00044AF3">
      <w:pPr>
        <w:pStyle w:val="ListParagraph"/>
        <w:numPr>
          <w:ilvl w:val="0"/>
          <w:numId w:val="2"/>
        </w:numPr>
        <w:tabs>
          <w:tab w:val="left" w:pos="662"/>
          <w:tab w:val="left" w:pos="663"/>
        </w:tabs>
        <w:spacing w:before="1"/>
        <w:ind w:left="662" w:hanging="357"/>
        <w:rPr>
          <w:rFonts w:ascii="Wingdings"/>
          <w:sz w:val="20"/>
        </w:rPr>
      </w:pPr>
      <w:r>
        <w:rPr>
          <w:sz w:val="20"/>
        </w:rPr>
        <w:t>ascertain why an agreed repayment arrangement has not been complied with, if this is the</w:t>
      </w:r>
      <w:r>
        <w:rPr>
          <w:spacing w:val="-18"/>
          <w:sz w:val="20"/>
        </w:rPr>
        <w:t xml:space="preserve"> </w:t>
      </w:r>
      <w:r>
        <w:rPr>
          <w:sz w:val="20"/>
        </w:rPr>
        <w:t>case</w:t>
      </w:r>
    </w:p>
    <w:p w:rsidR="00044AF3" w:rsidRDefault="00044AF3" w:rsidP="00044AF3">
      <w:pPr>
        <w:pStyle w:val="Heading4"/>
        <w:spacing w:before="37"/>
      </w:pPr>
    </w:p>
    <w:p w:rsidR="00044AF3" w:rsidRDefault="00044AF3" w:rsidP="00044AF3">
      <w:pPr>
        <w:pStyle w:val="Heading4"/>
        <w:spacing w:before="37"/>
      </w:pPr>
      <w:r>
        <w:t>Making contact with debtor</w:t>
      </w:r>
    </w:p>
    <w:p w:rsidR="00044AF3" w:rsidRDefault="00044AF3" w:rsidP="00044AF3">
      <w:pPr>
        <w:pStyle w:val="BodyText"/>
        <w:spacing w:before="2"/>
        <w:ind w:left="305" w:right="207"/>
        <w:jc w:val="both"/>
      </w:pPr>
    </w:p>
    <w:p w:rsidR="00044AF3" w:rsidRDefault="00044AF3" w:rsidP="00044AF3">
      <w:pPr>
        <w:pStyle w:val="BodyText"/>
        <w:spacing w:before="2"/>
        <w:ind w:left="305" w:right="207"/>
        <w:jc w:val="both"/>
      </w:pPr>
      <w:r>
        <w:t>Under privacy laws, VWS has an obligation to protect the privacy of debtors. When making direct contact, VWS must always ensure the person that it is dealing with is the debtor. This must be done every time VWS makes contact before VWS divulges any information about the debt, the process for its recovery or other confidential</w:t>
      </w:r>
      <w:r>
        <w:rPr>
          <w:spacing w:val="-2"/>
        </w:rPr>
        <w:t xml:space="preserve"> </w:t>
      </w:r>
      <w:r>
        <w:t>information.</w:t>
      </w:r>
    </w:p>
    <w:p w:rsidR="00044AF3" w:rsidRDefault="00044AF3" w:rsidP="00044AF3">
      <w:pPr>
        <w:pStyle w:val="BodyText"/>
        <w:spacing w:before="120"/>
        <w:ind w:left="305" w:right="212"/>
        <w:jc w:val="both"/>
      </w:pPr>
      <w:r>
        <w:t xml:space="preserve">The privacy limits on disclosing information to third parties apply to the debtor‘s spouse, partner and/or family as much as they apply to other third parties (in this case JLL Organisation). Having established the debtor‘s identity, VWS person will </w:t>
      </w:r>
      <w:proofErr w:type="gramStart"/>
      <w:r>
        <w:t>need  to</w:t>
      </w:r>
      <w:proofErr w:type="gramEnd"/>
      <w:r>
        <w:t xml:space="preserve"> identify who he or she is and whom he/she works for, and explain the purpose of the</w:t>
      </w:r>
      <w:r>
        <w:rPr>
          <w:spacing w:val="-16"/>
        </w:rPr>
        <w:t xml:space="preserve"> </w:t>
      </w:r>
      <w:r>
        <w:t>contact.</w:t>
      </w:r>
    </w:p>
    <w:p w:rsidR="00044AF3" w:rsidRDefault="00044AF3" w:rsidP="00044AF3">
      <w:pPr>
        <w:pStyle w:val="BodyText"/>
        <w:spacing w:before="122"/>
        <w:ind w:left="305" w:right="213"/>
        <w:jc w:val="both"/>
      </w:pPr>
      <w:r>
        <w:rPr>
          <w:spacing w:val="3"/>
        </w:rPr>
        <w:t xml:space="preserve">VWS representatives </w:t>
      </w:r>
      <w:r>
        <w:t xml:space="preserve">identify themselves only by company </w:t>
      </w:r>
      <w:r>
        <w:rPr>
          <w:spacing w:val="2"/>
        </w:rPr>
        <w:t xml:space="preserve">name </w:t>
      </w:r>
      <w:r>
        <w:t>and enquirers first name and also give at least basic information about the debt, including the name of the creditor and any assignee of the debt, and details of the account and the amount</w:t>
      </w:r>
      <w:r>
        <w:rPr>
          <w:spacing w:val="-4"/>
        </w:rPr>
        <w:t xml:space="preserve"> </w:t>
      </w:r>
      <w:r>
        <w:t>claimed.</w:t>
      </w:r>
    </w:p>
    <w:p w:rsidR="00044AF3" w:rsidRDefault="00044AF3" w:rsidP="00044AF3">
      <w:pPr>
        <w:rPr>
          <w:b/>
          <w:bCs/>
          <w:sz w:val="20"/>
          <w:szCs w:val="20"/>
        </w:rPr>
      </w:pPr>
      <w:r>
        <w:br w:type="page"/>
      </w:r>
    </w:p>
    <w:p w:rsidR="00044AF3" w:rsidRDefault="00044AF3" w:rsidP="00044AF3">
      <w:pPr>
        <w:pStyle w:val="Heading4"/>
        <w:spacing w:before="116"/>
      </w:pPr>
    </w:p>
    <w:p w:rsidR="00044AF3" w:rsidRDefault="00044AF3" w:rsidP="00044AF3">
      <w:pPr>
        <w:pStyle w:val="Heading4"/>
        <w:spacing w:before="116"/>
      </w:pPr>
      <w:r>
        <w:t>Hours of contact</w:t>
      </w:r>
    </w:p>
    <w:p w:rsidR="00044AF3" w:rsidRDefault="00044AF3" w:rsidP="00044AF3">
      <w:pPr>
        <w:pStyle w:val="Heading4"/>
        <w:spacing w:before="116"/>
      </w:pPr>
    </w:p>
    <w:p w:rsidR="00044AF3" w:rsidRDefault="00044AF3" w:rsidP="00044AF3">
      <w:pPr>
        <w:pStyle w:val="BodyText"/>
        <w:spacing w:before="3"/>
        <w:ind w:left="305" w:right="209"/>
        <w:jc w:val="both"/>
      </w:pPr>
      <w:r>
        <w:rPr>
          <w:spacing w:val="3"/>
        </w:rPr>
        <w:t xml:space="preserve">VWS representative </w:t>
      </w:r>
      <w:r>
        <w:t>only contacts the debtor or a third party at reasonable hours, taking into account their circumstances and reasonable wishes. The following are considered</w:t>
      </w:r>
      <w:r>
        <w:rPr>
          <w:spacing w:val="-4"/>
        </w:rPr>
        <w:t xml:space="preserve"> </w:t>
      </w:r>
      <w:r>
        <w:t>reasonable.</w:t>
      </w:r>
    </w:p>
    <w:p w:rsidR="00044AF3" w:rsidRDefault="00044AF3" w:rsidP="00044AF3">
      <w:pPr>
        <w:spacing w:before="118" w:after="21"/>
        <w:ind w:left="305"/>
        <w:rPr>
          <w:i/>
          <w:sz w:val="20"/>
        </w:rPr>
      </w:pPr>
      <w:r>
        <w:rPr>
          <w:i/>
          <w:sz w:val="20"/>
        </w:rPr>
        <w:t>Hours of contact</w:t>
      </w:r>
    </w:p>
    <w:tbl>
      <w:tblPr>
        <w:tblW w:w="0" w:type="auto"/>
        <w:tblInd w:w="312" w:type="dxa"/>
        <w:tblLayout w:type="fixed"/>
        <w:tblCellMar>
          <w:left w:w="0" w:type="dxa"/>
          <w:right w:w="0" w:type="dxa"/>
        </w:tblCellMar>
        <w:tblLook w:val="01E0" w:firstRow="1" w:lastRow="1" w:firstColumn="1" w:lastColumn="1" w:noHBand="0" w:noVBand="0"/>
      </w:tblPr>
      <w:tblGrid>
        <w:gridCol w:w="2982"/>
        <w:gridCol w:w="2489"/>
        <w:gridCol w:w="3707"/>
      </w:tblGrid>
      <w:tr w:rsidR="00044AF3" w:rsidTr="00FD3030">
        <w:trPr>
          <w:trHeight w:val="349"/>
        </w:trPr>
        <w:tc>
          <w:tcPr>
            <w:tcW w:w="2982" w:type="dxa"/>
            <w:tcBorders>
              <w:top w:val="single" w:sz="12" w:space="0" w:color="008000"/>
              <w:bottom w:val="single" w:sz="6" w:space="0" w:color="008000"/>
            </w:tcBorders>
          </w:tcPr>
          <w:p w:rsidR="00044AF3" w:rsidRDefault="00044AF3" w:rsidP="00FD3030">
            <w:pPr>
              <w:pStyle w:val="TableParagraph"/>
              <w:spacing w:line="224" w:lineRule="exact"/>
              <w:ind w:left="107"/>
              <w:rPr>
                <w:b/>
                <w:sz w:val="20"/>
              </w:rPr>
            </w:pPr>
            <w:r>
              <w:rPr>
                <w:b/>
                <w:sz w:val="20"/>
              </w:rPr>
              <w:t>Contact Method</w:t>
            </w:r>
          </w:p>
        </w:tc>
        <w:tc>
          <w:tcPr>
            <w:tcW w:w="2489" w:type="dxa"/>
            <w:tcBorders>
              <w:top w:val="single" w:sz="12" w:space="0" w:color="008000"/>
              <w:bottom w:val="single" w:sz="6" w:space="0" w:color="008000"/>
            </w:tcBorders>
          </w:tcPr>
          <w:p w:rsidR="00044AF3" w:rsidRDefault="00044AF3" w:rsidP="00FD3030">
            <w:pPr>
              <w:pStyle w:val="TableParagraph"/>
              <w:spacing w:line="224" w:lineRule="exact"/>
              <w:ind w:left="184"/>
              <w:rPr>
                <w:b/>
                <w:sz w:val="20"/>
              </w:rPr>
            </w:pPr>
            <w:r>
              <w:rPr>
                <w:b/>
                <w:sz w:val="20"/>
              </w:rPr>
              <w:t>Periods</w:t>
            </w:r>
          </w:p>
        </w:tc>
        <w:tc>
          <w:tcPr>
            <w:tcW w:w="3707" w:type="dxa"/>
            <w:tcBorders>
              <w:top w:val="single" w:sz="12" w:space="0" w:color="008000"/>
              <w:bottom w:val="single" w:sz="6" w:space="0" w:color="008000"/>
            </w:tcBorders>
          </w:tcPr>
          <w:p w:rsidR="00044AF3" w:rsidRDefault="00044AF3" w:rsidP="00FD3030">
            <w:pPr>
              <w:pStyle w:val="TableParagraph"/>
              <w:spacing w:line="224" w:lineRule="exact"/>
              <w:ind w:left="760"/>
              <w:rPr>
                <w:b/>
                <w:sz w:val="20"/>
              </w:rPr>
            </w:pPr>
            <w:r>
              <w:rPr>
                <w:b/>
                <w:sz w:val="20"/>
              </w:rPr>
              <w:t>Times</w:t>
            </w:r>
          </w:p>
        </w:tc>
      </w:tr>
      <w:tr w:rsidR="00044AF3" w:rsidTr="00FD3030">
        <w:trPr>
          <w:trHeight w:val="290"/>
        </w:trPr>
        <w:tc>
          <w:tcPr>
            <w:tcW w:w="2982" w:type="dxa"/>
            <w:tcBorders>
              <w:top w:val="single" w:sz="6" w:space="0" w:color="008000"/>
            </w:tcBorders>
          </w:tcPr>
          <w:p w:rsidR="00044AF3" w:rsidRDefault="00044AF3" w:rsidP="00FD3030">
            <w:pPr>
              <w:pStyle w:val="TableParagraph"/>
              <w:spacing w:line="227" w:lineRule="exact"/>
              <w:ind w:left="107"/>
              <w:rPr>
                <w:sz w:val="20"/>
              </w:rPr>
            </w:pPr>
            <w:r>
              <w:rPr>
                <w:sz w:val="20"/>
              </w:rPr>
              <w:t>By Phone, emails and fax</w:t>
            </w:r>
          </w:p>
        </w:tc>
        <w:tc>
          <w:tcPr>
            <w:tcW w:w="2489" w:type="dxa"/>
            <w:tcBorders>
              <w:top w:val="single" w:sz="6" w:space="0" w:color="008000"/>
            </w:tcBorders>
          </w:tcPr>
          <w:p w:rsidR="00044AF3" w:rsidRDefault="00044AF3" w:rsidP="00FD3030">
            <w:pPr>
              <w:pStyle w:val="TableParagraph"/>
              <w:spacing w:line="227" w:lineRule="exact"/>
              <w:ind w:left="184"/>
              <w:rPr>
                <w:sz w:val="20"/>
              </w:rPr>
            </w:pPr>
            <w:r>
              <w:rPr>
                <w:sz w:val="20"/>
              </w:rPr>
              <w:t>Monday to Friday</w:t>
            </w:r>
          </w:p>
        </w:tc>
        <w:tc>
          <w:tcPr>
            <w:tcW w:w="3707" w:type="dxa"/>
            <w:tcBorders>
              <w:top w:val="single" w:sz="6" w:space="0" w:color="008000"/>
            </w:tcBorders>
          </w:tcPr>
          <w:p w:rsidR="00044AF3" w:rsidRDefault="00044AF3" w:rsidP="00FD3030">
            <w:pPr>
              <w:pStyle w:val="TableParagraph"/>
              <w:spacing w:line="227" w:lineRule="exact"/>
              <w:ind w:left="760"/>
              <w:rPr>
                <w:sz w:val="20"/>
              </w:rPr>
            </w:pPr>
            <w:r>
              <w:rPr>
                <w:sz w:val="20"/>
              </w:rPr>
              <w:t>7.30am – 9.00pm</w:t>
            </w:r>
          </w:p>
        </w:tc>
      </w:tr>
      <w:tr w:rsidR="00044AF3" w:rsidTr="00FD3030">
        <w:trPr>
          <w:trHeight w:val="350"/>
        </w:trPr>
        <w:tc>
          <w:tcPr>
            <w:tcW w:w="2982" w:type="dxa"/>
          </w:tcPr>
          <w:p w:rsidR="00044AF3" w:rsidRDefault="00044AF3" w:rsidP="00FD3030">
            <w:pPr>
              <w:pStyle w:val="TableParagraph"/>
              <w:rPr>
                <w:rFonts w:ascii="Times New Roman"/>
                <w:sz w:val="18"/>
              </w:rPr>
            </w:pPr>
          </w:p>
        </w:tc>
        <w:tc>
          <w:tcPr>
            <w:tcW w:w="2489" w:type="dxa"/>
          </w:tcPr>
          <w:p w:rsidR="00044AF3" w:rsidRDefault="00044AF3" w:rsidP="00FD3030">
            <w:pPr>
              <w:pStyle w:val="TableParagraph"/>
              <w:spacing w:before="56"/>
              <w:ind w:left="184"/>
              <w:rPr>
                <w:sz w:val="20"/>
              </w:rPr>
            </w:pPr>
            <w:r>
              <w:rPr>
                <w:sz w:val="20"/>
              </w:rPr>
              <w:t>Weekends</w:t>
            </w:r>
          </w:p>
        </w:tc>
        <w:tc>
          <w:tcPr>
            <w:tcW w:w="3707" w:type="dxa"/>
          </w:tcPr>
          <w:p w:rsidR="00044AF3" w:rsidRDefault="00044AF3" w:rsidP="00FD3030">
            <w:pPr>
              <w:pStyle w:val="TableParagraph"/>
              <w:spacing w:before="56"/>
              <w:ind w:left="760"/>
              <w:rPr>
                <w:sz w:val="20"/>
              </w:rPr>
            </w:pPr>
            <w:r>
              <w:rPr>
                <w:sz w:val="20"/>
              </w:rPr>
              <w:t>9.00am – 9.00pm</w:t>
            </w:r>
          </w:p>
        </w:tc>
      </w:tr>
      <w:tr w:rsidR="00044AF3" w:rsidTr="00FD3030">
        <w:trPr>
          <w:trHeight w:val="350"/>
        </w:trPr>
        <w:tc>
          <w:tcPr>
            <w:tcW w:w="2982" w:type="dxa"/>
          </w:tcPr>
          <w:p w:rsidR="00044AF3" w:rsidRDefault="00044AF3" w:rsidP="00FD3030">
            <w:pPr>
              <w:pStyle w:val="TableParagraph"/>
              <w:rPr>
                <w:rFonts w:ascii="Times New Roman"/>
                <w:sz w:val="18"/>
              </w:rPr>
            </w:pPr>
          </w:p>
        </w:tc>
        <w:tc>
          <w:tcPr>
            <w:tcW w:w="2489" w:type="dxa"/>
          </w:tcPr>
          <w:p w:rsidR="00044AF3" w:rsidRDefault="00044AF3" w:rsidP="00FD3030">
            <w:pPr>
              <w:pStyle w:val="TableParagraph"/>
              <w:spacing w:before="56"/>
              <w:ind w:left="184"/>
              <w:rPr>
                <w:sz w:val="20"/>
              </w:rPr>
            </w:pPr>
            <w:r>
              <w:rPr>
                <w:sz w:val="20"/>
              </w:rPr>
              <w:t>Public Holidays</w:t>
            </w:r>
          </w:p>
        </w:tc>
        <w:tc>
          <w:tcPr>
            <w:tcW w:w="3707" w:type="dxa"/>
          </w:tcPr>
          <w:p w:rsidR="00044AF3" w:rsidRDefault="00044AF3" w:rsidP="00FD3030">
            <w:pPr>
              <w:pStyle w:val="TableParagraph"/>
              <w:spacing w:before="56"/>
              <w:ind w:left="760"/>
              <w:rPr>
                <w:sz w:val="20"/>
              </w:rPr>
            </w:pPr>
            <w:r>
              <w:rPr>
                <w:sz w:val="20"/>
              </w:rPr>
              <w:t>Nil</w:t>
            </w:r>
          </w:p>
        </w:tc>
      </w:tr>
      <w:tr w:rsidR="00044AF3" w:rsidTr="00FD3030">
        <w:trPr>
          <w:trHeight w:val="349"/>
        </w:trPr>
        <w:tc>
          <w:tcPr>
            <w:tcW w:w="2982" w:type="dxa"/>
            <w:vMerge w:val="restart"/>
          </w:tcPr>
          <w:p w:rsidR="00044AF3" w:rsidRDefault="00044AF3" w:rsidP="00FD3030">
            <w:pPr>
              <w:pStyle w:val="TableParagraph"/>
              <w:spacing w:before="56"/>
              <w:ind w:left="107" w:right="165"/>
              <w:rPr>
                <w:sz w:val="20"/>
              </w:rPr>
            </w:pPr>
            <w:r>
              <w:rPr>
                <w:sz w:val="20"/>
              </w:rPr>
              <w:t>Face-to-Face (not by VWS; by third party collector only</w:t>
            </w:r>
          </w:p>
          <w:p w:rsidR="00044AF3" w:rsidRDefault="00044AF3" w:rsidP="00FD3030">
            <w:pPr>
              <w:pStyle w:val="TableParagraph"/>
              <w:spacing w:line="217" w:lineRule="exact"/>
              <w:ind w:left="107"/>
              <w:rPr>
                <w:sz w:val="20"/>
              </w:rPr>
            </w:pPr>
            <w:r>
              <w:rPr>
                <w:sz w:val="20"/>
              </w:rPr>
              <w:t>engaged by VWS)</w:t>
            </w:r>
          </w:p>
        </w:tc>
        <w:tc>
          <w:tcPr>
            <w:tcW w:w="2489" w:type="dxa"/>
          </w:tcPr>
          <w:p w:rsidR="00044AF3" w:rsidRDefault="00044AF3" w:rsidP="00FD3030">
            <w:pPr>
              <w:pStyle w:val="TableParagraph"/>
              <w:spacing w:before="56"/>
              <w:ind w:left="184"/>
              <w:rPr>
                <w:sz w:val="20"/>
              </w:rPr>
            </w:pPr>
            <w:r>
              <w:rPr>
                <w:sz w:val="20"/>
              </w:rPr>
              <w:t>Monday to Friday</w:t>
            </w:r>
          </w:p>
        </w:tc>
        <w:tc>
          <w:tcPr>
            <w:tcW w:w="3707" w:type="dxa"/>
          </w:tcPr>
          <w:p w:rsidR="00044AF3" w:rsidRDefault="00044AF3" w:rsidP="00FD3030">
            <w:pPr>
              <w:pStyle w:val="TableParagraph"/>
              <w:spacing w:before="56"/>
              <w:ind w:left="760"/>
              <w:rPr>
                <w:sz w:val="20"/>
              </w:rPr>
            </w:pPr>
            <w:r>
              <w:rPr>
                <w:sz w:val="20"/>
              </w:rPr>
              <w:t>9.00am – 9.00pm</w:t>
            </w:r>
          </w:p>
        </w:tc>
      </w:tr>
      <w:tr w:rsidR="00044AF3" w:rsidTr="00FD3030">
        <w:trPr>
          <w:trHeight w:val="404"/>
        </w:trPr>
        <w:tc>
          <w:tcPr>
            <w:tcW w:w="2982" w:type="dxa"/>
            <w:vMerge/>
            <w:tcBorders>
              <w:top w:val="nil"/>
            </w:tcBorders>
          </w:tcPr>
          <w:p w:rsidR="00044AF3" w:rsidRDefault="00044AF3" w:rsidP="00FD3030">
            <w:pPr>
              <w:rPr>
                <w:sz w:val="2"/>
                <w:szCs w:val="2"/>
              </w:rPr>
            </w:pPr>
          </w:p>
        </w:tc>
        <w:tc>
          <w:tcPr>
            <w:tcW w:w="2489" w:type="dxa"/>
          </w:tcPr>
          <w:p w:rsidR="00044AF3" w:rsidRDefault="00044AF3" w:rsidP="00FD3030">
            <w:pPr>
              <w:pStyle w:val="TableParagraph"/>
              <w:spacing w:before="55"/>
              <w:ind w:left="184"/>
              <w:rPr>
                <w:sz w:val="20"/>
              </w:rPr>
            </w:pPr>
            <w:r>
              <w:rPr>
                <w:sz w:val="20"/>
              </w:rPr>
              <w:t>Weekends</w:t>
            </w:r>
          </w:p>
        </w:tc>
        <w:tc>
          <w:tcPr>
            <w:tcW w:w="3707" w:type="dxa"/>
          </w:tcPr>
          <w:p w:rsidR="00044AF3" w:rsidRDefault="00044AF3" w:rsidP="00FD3030">
            <w:pPr>
              <w:pStyle w:val="TableParagraph"/>
              <w:spacing w:before="55"/>
              <w:ind w:left="760"/>
              <w:rPr>
                <w:sz w:val="20"/>
              </w:rPr>
            </w:pPr>
            <w:r>
              <w:rPr>
                <w:sz w:val="20"/>
              </w:rPr>
              <w:t>9.00am – 9.00pm</w:t>
            </w:r>
          </w:p>
        </w:tc>
      </w:tr>
      <w:tr w:rsidR="00044AF3" w:rsidTr="00FD3030">
        <w:trPr>
          <w:trHeight w:val="356"/>
        </w:trPr>
        <w:tc>
          <w:tcPr>
            <w:tcW w:w="2982" w:type="dxa"/>
            <w:tcBorders>
              <w:bottom w:val="single" w:sz="12" w:space="0" w:color="008000"/>
            </w:tcBorders>
          </w:tcPr>
          <w:p w:rsidR="00044AF3" w:rsidRDefault="00044AF3" w:rsidP="00FD3030">
            <w:pPr>
              <w:pStyle w:val="TableParagraph"/>
              <w:rPr>
                <w:rFonts w:ascii="Times New Roman"/>
                <w:sz w:val="18"/>
              </w:rPr>
            </w:pPr>
          </w:p>
        </w:tc>
        <w:tc>
          <w:tcPr>
            <w:tcW w:w="2489" w:type="dxa"/>
            <w:tcBorders>
              <w:bottom w:val="single" w:sz="12" w:space="0" w:color="008000"/>
            </w:tcBorders>
          </w:tcPr>
          <w:p w:rsidR="00044AF3" w:rsidRDefault="00044AF3" w:rsidP="00FD3030">
            <w:pPr>
              <w:pStyle w:val="TableParagraph"/>
              <w:spacing w:before="1"/>
              <w:ind w:left="184"/>
              <w:rPr>
                <w:sz w:val="20"/>
              </w:rPr>
            </w:pPr>
            <w:r>
              <w:rPr>
                <w:sz w:val="20"/>
              </w:rPr>
              <w:t>Public Holidays</w:t>
            </w:r>
          </w:p>
        </w:tc>
        <w:tc>
          <w:tcPr>
            <w:tcW w:w="3707" w:type="dxa"/>
            <w:tcBorders>
              <w:bottom w:val="single" w:sz="12" w:space="0" w:color="008000"/>
            </w:tcBorders>
          </w:tcPr>
          <w:p w:rsidR="00044AF3" w:rsidRDefault="00044AF3" w:rsidP="00FD3030">
            <w:pPr>
              <w:pStyle w:val="TableParagraph"/>
              <w:spacing w:before="1"/>
              <w:ind w:left="760"/>
              <w:rPr>
                <w:sz w:val="20"/>
              </w:rPr>
            </w:pPr>
            <w:r>
              <w:rPr>
                <w:sz w:val="20"/>
              </w:rPr>
              <w:t>Nil</w:t>
            </w:r>
          </w:p>
        </w:tc>
      </w:tr>
    </w:tbl>
    <w:p w:rsidR="00044AF3" w:rsidRDefault="00044AF3" w:rsidP="00044AF3">
      <w:pPr>
        <w:pStyle w:val="BodyText"/>
        <w:spacing w:before="119"/>
        <w:ind w:left="305" w:right="207"/>
        <w:jc w:val="both"/>
      </w:pPr>
    </w:p>
    <w:p w:rsidR="00044AF3" w:rsidRDefault="00044AF3" w:rsidP="00044AF3">
      <w:pPr>
        <w:pStyle w:val="Heading4"/>
        <w:spacing w:before="117"/>
      </w:pPr>
      <w:r>
        <w:t>Frequency of contact</w:t>
      </w:r>
    </w:p>
    <w:p w:rsidR="006F11EC" w:rsidRDefault="006F11EC" w:rsidP="00044AF3">
      <w:pPr>
        <w:pStyle w:val="BodyText"/>
        <w:spacing w:before="3"/>
        <w:ind w:left="305" w:right="209"/>
        <w:jc w:val="both"/>
      </w:pPr>
    </w:p>
    <w:p w:rsidR="00044AF3" w:rsidRDefault="00044AF3" w:rsidP="00044AF3">
      <w:pPr>
        <w:pStyle w:val="BodyText"/>
        <w:spacing w:before="3"/>
        <w:ind w:left="305" w:right="209"/>
        <w:jc w:val="both"/>
      </w:pPr>
      <w:r>
        <w:t>Debtors are entitled to be free from excessive communications from collectors. Communications must always be for a reasonable purpose, and should only occur to the extent necessary.</w:t>
      </w:r>
    </w:p>
    <w:p w:rsidR="00044AF3" w:rsidRDefault="00044AF3" w:rsidP="00044AF3">
      <w:pPr>
        <w:pStyle w:val="BodyText"/>
        <w:spacing w:before="119"/>
        <w:ind w:left="305" w:right="208"/>
        <w:jc w:val="both"/>
      </w:pPr>
      <w:r>
        <w:t xml:space="preserve">Unduly frequent contact designed to wear down or exhaust a debtor, or likely to have this effect, </w:t>
      </w:r>
      <w:r>
        <w:rPr>
          <w:w w:val="99"/>
        </w:rPr>
        <w:t>constitutes</w:t>
      </w:r>
      <w:r>
        <w:t xml:space="preserve"> </w:t>
      </w:r>
      <w:r>
        <w:rPr>
          <w:w w:val="40"/>
        </w:rPr>
        <w:t>‗</w:t>
      </w:r>
      <w:r>
        <w:rPr>
          <w:w w:val="99"/>
        </w:rPr>
        <w:t>undue</w:t>
      </w:r>
      <w:r>
        <w:t xml:space="preserve"> </w:t>
      </w:r>
      <w:proofErr w:type="gramStart"/>
      <w:r>
        <w:rPr>
          <w:w w:val="99"/>
        </w:rPr>
        <w:t>harassment‘</w:t>
      </w:r>
      <w:r>
        <w:t xml:space="preserve"> </w:t>
      </w:r>
      <w:r>
        <w:rPr>
          <w:w w:val="99"/>
        </w:rPr>
        <w:t>or</w:t>
      </w:r>
      <w:proofErr w:type="gramEnd"/>
      <w:r>
        <w:t xml:space="preserve"> </w:t>
      </w:r>
      <w:r>
        <w:rPr>
          <w:w w:val="99"/>
        </w:rPr>
        <w:t>coercion</w:t>
      </w:r>
      <w:r>
        <w:t xml:space="preserve"> </w:t>
      </w:r>
      <w:r>
        <w:rPr>
          <w:w w:val="99"/>
        </w:rPr>
        <w:t>and</w:t>
      </w:r>
      <w:r>
        <w:t xml:space="preserve"> </w:t>
      </w:r>
      <w:r>
        <w:rPr>
          <w:w w:val="99"/>
        </w:rPr>
        <w:t>is</w:t>
      </w:r>
      <w:r>
        <w:t xml:space="preserve"> </w:t>
      </w:r>
      <w:r>
        <w:rPr>
          <w:w w:val="99"/>
        </w:rPr>
        <w:t>contrary</w:t>
      </w:r>
      <w:r>
        <w:t xml:space="preserve"> </w:t>
      </w:r>
      <w:r>
        <w:rPr>
          <w:w w:val="99"/>
        </w:rPr>
        <w:t>to</w:t>
      </w:r>
      <w:r>
        <w:t xml:space="preserve"> </w:t>
      </w:r>
      <w:r>
        <w:rPr>
          <w:w w:val="99"/>
        </w:rPr>
        <w:t>this</w:t>
      </w:r>
      <w:r>
        <w:t xml:space="preserve"> </w:t>
      </w:r>
      <w:r>
        <w:rPr>
          <w:w w:val="99"/>
        </w:rPr>
        <w:t>code</w:t>
      </w:r>
      <w:r>
        <w:t xml:space="preserve"> </w:t>
      </w:r>
      <w:r>
        <w:rPr>
          <w:w w:val="99"/>
        </w:rPr>
        <w:t>of</w:t>
      </w:r>
      <w:r>
        <w:t xml:space="preserve"> </w:t>
      </w:r>
      <w:r>
        <w:rPr>
          <w:w w:val="99"/>
        </w:rPr>
        <w:t>practice.</w:t>
      </w:r>
      <w:r>
        <w:t xml:space="preserve"> </w:t>
      </w:r>
      <w:r>
        <w:rPr>
          <w:w w:val="99"/>
        </w:rPr>
        <w:t>This</w:t>
      </w:r>
      <w:r>
        <w:t xml:space="preserve"> </w:t>
      </w:r>
      <w:r>
        <w:rPr>
          <w:w w:val="99"/>
        </w:rPr>
        <w:t>is</w:t>
      </w:r>
      <w:r>
        <w:t xml:space="preserve"> </w:t>
      </w:r>
      <w:r>
        <w:rPr>
          <w:w w:val="99"/>
        </w:rPr>
        <w:t xml:space="preserve">particularly </w:t>
      </w:r>
      <w:r>
        <w:t>likely if VWS would make a number of phone calls or other contacts in rapid succession.</w:t>
      </w:r>
    </w:p>
    <w:p w:rsidR="00044AF3" w:rsidRDefault="00044AF3" w:rsidP="00044AF3">
      <w:pPr>
        <w:pStyle w:val="Heading4"/>
      </w:pPr>
    </w:p>
    <w:p w:rsidR="00044AF3" w:rsidRDefault="00044AF3" w:rsidP="00044AF3">
      <w:pPr>
        <w:pStyle w:val="Heading4"/>
      </w:pPr>
      <w:r>
        <w:t>Location of contact</w:t>
      </w:r>
    </w:p>
    <w:p w:rsidR="006F11EC" w:rsidRDefault="006F11EC" w:rsidP="00044AF3">
      <w:pPr>
        <w:pStyle w:val="BodyText"/>
        <w:spacing w:before="1"/>
        <w:ind w:left="305" w:right="216"/>
        <w:jc w:val="both"/>
      </w:pPr>
    </w:p>
    <w:p w:rsidR="00044AF3" w:rsidRDefault="00044AF3" w:rsidP="00044AF3">
      <w:pPr>
        <w:pStyle w:val="BodyText"/>
        <w:spacing w:before="1"/>
        <w:ind w:left="305" w:right="216"/>
        <w:jc w:val="both"/>
      </w:pPr>
      <w:r>
        <w:t>In most cases, the debtor‘s office premises will be the appropriate place to contact a debtor, with contact by letter or telephone generally being the appropriate mode of contact. However, if a debtor provides a telephone (including mobile phone) contact number as the means of contact, contact using that number will be appropriate whatever the debtor‘s location.</w:t>
      </w:r>
    </w:p>
    <w:p w:rsidR="00044AF3" w:rsidRDefault="00044AF3" w:rsidP="00044AF3">
      <w:pPr>
        <w:pStyle w:val="BodyText"/>
        <w:spacing w:before="120"/>
        <w:ind w:left="305" w:right="210"/>
        <w:jc w:val="both"/>
      </w:pPr>
    </w:p>
    <w:p w:rsidR="00044AF3" w:rsidRDefault="00044AF3" w:rsidP="00044AF3">
      <w:pPr>
        <w:pStyle w:val="Heading4"/>
        <w:spacing w:before="0"/>
      </w:pPr>
      <w:r>
        <w:t>Privacy obligations to the debtor</w:t>
      </w:r>
    </w:p>
    <w:p w:rsidR="006F11EC" w:rsidRDefault="006F11EC" w:rsidP="00044AF3">
      <w:pPr>
        <w:pStyle w:val="BodyText"/>
        <w:spacing w:before="3"/>
        <w:ind w:left="305" w:right="211"/>
        <w:jc w:val="both"/>
      </w:pPr>
    </w:p>
    <w:p w:rsidR="00044AF3" w:rsidRDefault="00044AF3" w:rsidP="00044AF3">
      <w:pPr>
        <w:pStyle w:val="BodyText"/>
        <w:spacing w:before="3"/>
        <w:ind w:left="305" w:right="211"/>
        <w:jc w:val="both"/>
      </w:pPr>
      <w:r>
        <w:t>A debtor‘s personal information should always be treated with respect. The improper use of a debtor‘s personal information may cause that person serious difficulties. There are legal obligations under the NSW Privacy Act 1988 designed to protect the privacy of a debtor‘s personal information.</w:t>
      </w:r>
    </w:p>
    <w:p w:rsidR="00044AF3" w:rsidRDefault="00044AF3" w:rsidP="00044AF3">
      <w:pPr>
        <w:pStyle w:val="BodyText"/>
        <w:spacing w:before="3"/>
        <w:ind w:left="305" w:right="211"/>
        <w:jc w:val="both"/>
      </w:pPr>
    </w:p>
    <w:p w:rsidR="00044AF3" w:rsidRDefault="00044AF3" w:rsidP="00044AF3">
      <w:pPr>
        <w:pStyle w:val="BodyText"/>
        <w:spacing w:before="3"/>
        <w:ind w:left="305" w:right="211"/>
        <w:jc w:val="both"/>
      </w:pPr>
      <w:r>
        <w:t>In this case, as the debtor (JLL as Asset Owner’s representative) is a registered business, such privacy obligations may not apply.</w:t>
      </w:r>
    </w:p>
    <w:p w:rsidR="00044AF3" w:rsidRDefault="00044AF3" w:rsidP="00044AF3">
      <w:pPr>
        <w:pStyle w:val="BodyText"/>
        <w:spacing w:before="3"/>
        <w:ind w:left="305" w:right="211"/>
        <w:jc w:val="both"/>
      </w:pPr>
    </w:p>
    <w:p w:rsidR="00044AF3" w:rsidRDefault="00044AF3" w:rsidP="00044AF3">
      <w:pPr>
        <w:pStyle w:val="Heading4"/>
      </w:pPr>
      <w:r>
        <w:t>When a debtor is represented</w:t>
      </w:r>
    </w:p>
    <w:p w:rsidR="006F11EC" w:rsidRDefault="006F11EC" w:rsidP="00044AF3">
      <w:pPr>
        <w:pStyle w:val="BodyText"/>
        <w:spacing w:before="1"/>
        <w:ind w:left="305" w:right="209"/>
        <w:jc w:val="both"/>
      </w:pPr>
    </w:p>
    <w:p w:rsidR="00044AF3" w:rsidRDefault="00044AF3" w:rsidP="00044AF3">
      <w:pPr>
        <w:pStyle w:val="BodyText"/>
        <w:spacing w:before="1"/>
        <w:ind w:left="305" w:right="209"/>
        <w:jc w:val="both"/>
      </w:pPr>
      <w:r>
        <w:t>A debtor has a right to have an authorised representative (such as a financial counsellor, financial advisor, community worker, solicitor, guardian or carer) represent them or advocate on their behalf about a debt. Except in the circumstances outlined below VWS shall not contact a debtor directly after it knows, or should know, that the debtor is represented and shall not refuse to deal with an appointed or authorised representative. VWS is entitled to contact a debtor directly if:</w:t>
      </w:r>
    </w:p>
    <w:p w:rsidR="00044AF3" w:rsidRDefault="00044AF3" w:rsidP="00044AF3">
      <w:pPr>
        <w:pStyle w:val="ListParagraph"/>
        <w:numPr>
          <w:ilvl w:val="0"/>
          <w:numId w:val="2"/>
        </w:numPr>
        <w:tabs>
          <w:tab w:val="left" w:pos="663"/>
        </w:tabs>
        <w:spacing w:before="122" w:line="229" w:lineRule="exact"/>
        <w:ind w:left="662" w:hanging="357"/>
        <w:jc w:val="both"/>
        <w:rPr>
          <w:rFonts w:ascii="Wingdings"/>
          <w:sz w:val="20"/>
        </w:rPr>
      </w:pPr>
      <w:r>
        <w:rPr>
          <w:sz w:val="20"/>
        </w:rPr>
        <w:t>the representative does not respond to within a reasonable time (normally 14</w:t>
      </w:r>
      <w:r>
        <w:rPr>
          <w:spacing w:val="-4"/>
          <w:sz w:val="20"/>
        </w:rPr>
        <w:t xml:space="preserve"> </w:t>
      </w:r>
      <w:r>
        <w:rPr>
          <w:sz w:val="20"/>
        </w:rPr>
        <w:t>days)</w:t>
      </w:r>
    </w:p>
    <w:p w:rsidR="00044AF3" w:rsidRDefault="00044AF3" w:rsidP="00044AF3">
      <w:pPr>
        <w:pStyle w:val="ListParagraph"/>
        <w:numPr>
          <w:ilvl w:val="0"/>
          <w:numId w:val="2"/>
        </w:numPr>
        <w:tabs>
          <w:tab w:val="left" w:pos="663"/>
        </w:tabs>
        <w:spacing w:line="229" w:lineRule="exact"/>
        <w:ind w:left="662" w:hanging="357"/>
        <w:jc w:val="both"/>
        <w:rPr>
          <w:rFonts w:ascii="Wingdings"/>
          <w:sz w:val="20"/>
        </w:rPr>
      </w:pPr>
      <w:r>
        <w:rPr>
          <w:sz w:val="20"/>
        </w:rPr>
        <w:t>the representative advises that they do not have instructions from the debtor about the</w:t>
      </w:r>
      <w:r>
        <w:rPr>
          <w:spacing w:val="-14"/>
          <w:sz w:val="20"/>
        </w:rPr>
        <w:t xml:space="preserve"> </w:t>
      </w:r>
      <w:r>
        <w:rPr>
          <w:sz w:val="20"/>
        </w:rPr>
        <w:t>debt</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the representative does not consent to</w:t>
      </w:r>
      <w:r>
        <w:rPr>
          <w:spacing w:val="-1"/>
          <w:sz w:val="20"/>
        </w:rPr>
        <w:t xml:space="preserve"> </w:t>
      </w:r>
      <w:r>
        <w:rPr>
          <w:sz w:val="20"/>
        </w:rPr>
        <w:t>act</w:t>
      </w:r>
    </w:p>
    <w:p w:rsidR="00044AF3" w:rsidRDefault="00044AF3" w:rsidP="00044AF3">
      <w:pPr>
        <w:pStyle w:val="ListParagraph"/>
        <w:numPr>
          <w:ilvl w:val="0"/>
          <w:numId w:val="2"/>
        </w:numPr>
        <w:tabs>
          <w:tab w:val="left" w:pos="663"/>
        </w:tabs>
        <w:spacing w:before="1"/>
        <w:ind w:left="662" w:hanging="357"/>
        <w:jc w:val="both"/>
        <w:rPr>
          <w:rFonts w:ascii="Wingdings"/>
          <w:sz w:val="20"/>
        </w:rPr>
      </w:pPr>
      <w:r>
        <w:rPr>
          <w:sz w:val="20"/>
        </w:rPr>
        <w:t>the debtor specifically requests direct communication with</w:t>
      </w:r>
      <w:r>
        <w:rPr>
          <w:spacing w:val="-3"/>
          <w:sz w:val="20"/>
        </w:rPr>
        <w:t xml:space="preserve"> </w:t>
      </w:r>
      <w:r>
        <w:rPr>
          <w:sz w:val="20"/>
        </w:rPr>
        <w:t>you</w:t>
      </w:r>
    </w:p>
    <w:p w:rsidR="00044AF3" w:rsidRPr="00FD3030" w:rsidRDefault="00044AF3" w:rsidP="00044AF3">
      <w:pPr>
        <w:pStyle w:val="ListParagraph"/>
        <w:numPr>
          <w:ilvl w:val="0"/>
          <w:numId w:val="2"/>
        </w:numPr>
        <w:tabs>
          <w:tab w:val="left" w:pos="663"/>
        </w:tabs>
        <w:spacing w:before="122" w:line="229" w:lineRule="exact"/>
        <w:ind w:left="662" w:hanging="357"/>
        <w:jc w:val="both"/>
        <w:rPr>
          <w:sz w:val="20"/>
        </w:rPr>
      </w:pPr>
      <w:r>
        <w:rPr>
          <w:sz w:val="20"/>
        </w:rPr>
        <w:lastRenderedPageBreak/>
        <w:t>the representative is not a solicitor and you advise that written authority stating that you are to communicate through the debtor‘s representative is required, and the debtor or their representative does not provide that</w:t>
      </w:r>
      <w:r w:rsidRPr="00FD3030">
        <w:rPr>
          <w:sz w:val="20"/>
        </w:rPr>
        <w:t xml:space="preserve"> </w:t>
      </w:r>
      <w:r>
        <w:rPr>
          <w:sz w:val="20"/>
        </w:rPr>
        <w:t>authority.</w:t>
      </w:r>
    </w:p>
    <w:p w:rsidR="00044AF3" w:rsidRDefault="00044AF3" w:rsidP="00044AF3">
      <w:pPr>
        <w:pStyle w:val="Heading4"/>
        <w:spacing w:before="117"/>
      </w:pPr>
    </w:p>
    <w:p w:rsidR="00044AF3" w:rsidRDefault="00044AF3" w:rsidP="00044AF3">
      <w:pPr>
        <w:pStyle w:val="Heading4"/>
        <w:spacing w:before="117"/>
      </w:pPr>
      <w:r>
        <w:t>Record keeping</w:t>
      </w:r>
    </w:p>
    <w:p w:rsidR="006F11EC" w:rsidRDefault="006F11EC" w:rsidP="00044AF3">
      <w:pPr>
        <w:pStyle w:val="BodyText"/>
        <w:spacing w:before="3"/>
        <w:ind w:left="305" w:right="211"/>
        <w:jc w:val="both"/>
      </w:pPr>
    </w:p>
    <w:p w:rsidR="00044AF3" w:rsidRDefault="00044AF3" w:rsidP="00044AF3">
      <w:pPr>
        <w:pStyle w:val="BodyText"/>
        <w:spacing w:before="3"/>
        <w:ind w:left="305" w:right="211"/>
        <w:jc w:val="both"/>
      </w:pPr>
      <w:r>
        <w:t>Accurate record keeping by all parties is vital to promptly resolve disputes and allow collectors and debtors to limit or avoid costly collection activity. VWS shall ensure:</w:t>
      </w:r>
    </w:p>
    <w:p w:rsidR="00044AF3" w:rsidRDefault="00044AF3" w:rsidP="00044AF3">
      <w:pPr>
        <w:pStyle w:val="ListParagraph"/>
        <w:numPr>
          <w:ilvl w:val="0"/>
          <w:numId w:val="2"/>
        </w:numPr>
        <w:tabs>
          <w:tab w:val="left" w:pos="663"/>
        </w:tabs>
        <w:spacing w:before="121"/>
        <w:ind w:left="662" w:right="210" w:hanging="357"/>
        <w:jc w:val="both"/>
        <w:rPr>
          <w:rFonts w:ascii="Wingdings"/>
          <w:sz w:val="20"/>
        </w:rPr>
      </w:pPr>
      <w:r>
        <w:rPr>
          <w:sz w:val="20"/>
        </w:rPr>
        <w:t>it maintains accurate, complete and up-to-date records of all communications with debtors, including the time, date and nature of calls about the debt, records of any visits in person, and records of all correspondence</w:t>
      </w:r>
      <w:r>
        <w:rPr>
          <w:spacing w:val="-2"/>
          <w:sz w:val="20"/>
        </w:rPr>
        <w:t xml:space="preserve"> </w:t>
      </w:r>
      <w:r>
        <w:rPr>
          <w:sz w:val="20"/>
        </w:rPr>
        <w:t>sent</w:t>
      </w:r>
    </w:p>
    <w:p w:rsidR="00044AF3" w:rsidRDefault="00044AF3" w:rsidP="00044AF3">
      <w:pPr>
        <w:pStyle w:val="ListParagraph"/>
        <w:numPr>
          <w:ilvl w:val="0"/>
          <w:numId w:val="2"/>
        </w:numPr>
        <w:tabs>
          <w:tab w:val="left" w:pos="662"/>
          <w:tab w:val="left" w:pos="663"/>
        </w:tabs>
        <w:ind w:left="662" w:right="220" w:hanging="357"/>
        <w:rPr>
          <w:rFonts w:ascii="Wingdings"/>
          <w:sz w:val="20"/>
        </w:rPr>
      </w:pPr>
      <w:proofErr w:type="gramStart"/>
      <w:r>
        <w:rPr>
          <w:sz w:val="20"/>
        </w:rPr>
        <w:t>all</w:t>
      </w:r>
      <w:proofErr w:type="gramEnd"/>
      <w:r>
        <w:rPr>
          <w:sz w:val="20"/>
        </w:rPr>
        <w:t xml:space="preserve"> payments made are accurately recorded (including details of date, amount and payment method).</w:t>
      </w:r>
    </w:p>
    <w:p w:rsidR="00044AF3" w:rsidRDefault="00044AF3" w:rsidP="00044AF3">
      <w:pPr>
        <w:pStyle w:val="ListParagraph"/>
        <w:numPr>
          <w:ilvl w:val="0"/>
          <w:numId w:val="2"/>
        </w:numPr>
        <w:tabs>
          <w:tab w:val="left" w:pos="663"/>
        </w:tabs>
        <w:ind w:left="662" w:hanging="357"/>
        <w:jc w:val="both"/>
        <w:rPr>
          <w:rFonts w:ascii="Wingdings"/>
          <w:sz w:val="20"/>
        </w:rPr>
      </w:pPr>
      <w:r>
        <w:rPr>
          <w:sz w:val="20"/>
        </w:rPr>
        <w:t>settlements are fully documented in relevant files and computer</w:t>
      </w:r>
      <w:r>
        <w:rPr>
          <w:spacing w:val="-7"/>
          <w:sz w:val="20"/>
        </w:rPr>
        <w:t xml:space="preserve"> </w:t>
      </w:r>
      <w:r>
        <w:rPr>
          <w:sz w:val="20"/>
        </w:rPr>
        <w:t>systems</w:t>
      </w:r>
    </w:p>
    <w:p w:rsidR="00044AF3" w:rsidRDefault="00044AF3" w:rsidP="00044AF3">
      <w:pPr>
        <w:pStyle w:val="ListParagraph"/>
        <w:numPr>
          <w:ilvl w:val="0"/>
          <w:numId w:val="2"/>
        </w:numPr>
        <w:tabs>
          <w:tab w:val="left" w:pos="662"/>
          <w:tab w:val="left" w:pos="663"/>
        </w:tabs>
        <w:ind w:left="662" w:right="219" w:hanging="357"/>
        <w:rPr>
          <w:rFonts w:ascii="Wingdings"/>
          <w:sz w:val="20"/>
        </w:rPr>
      </w:pPr>
      <w:r>
        <w:rPr>
          <w:sz w:val="20"/>
        </w:rPr>
        <w:t>once a debt is settled, any credit reporting agency report on the debtor must be updated appropriately</w:t>
      </w:r>
    </w:p>
    <w:p w:rsidR="00044AF3" w:rsidRDefault="00044AF3" w:rsidP="00044AF3">
      <w:pPr>
        <w:pStyle w:val="Heading4"/>
        <w:spacing w:before="116"/>
      </w:pPr>
      <w:r>
        <w:t>Providing information and documents</w:t>
      </w:r>
    </w:p>
    <w:p w:rsidR="006F11EC" w:rsidRDefault="006F11EC" w:rsidP="00044AF3">
      <w:pPr>
        <w:pStyle w:val="BodyText"/>
        <w:spacing w:before="3"/>
        <w:ind w:left="305" w:right="209"/>
        <w:jc w:val="both"/>
      </w:pPr>
    </w:p>
    <w:p w:rsidR="00044AF3" w:rsidRDefault="00044AF3" w:rsidP="00044AF3">
      <w:pPr>
        <w:pStyle w:val="BodyText"/>
        <w:spacing w:before="3"/>
        <w:ind w:left="305" w:right="209"/>
        <w:jc w:val="both"/>
      </w:pPr>
      <w:r>
        <w:t>Requests by debtors for information and/or documentation about an account should not be ignored. In certain circumstances, failure to provide information may constitute misleading and deceptive conduct or unconscionable conduct. VWS shall provide such information as necessary to demonstrate proof of debt.</w:t>
      </w:r>
    </w:p>
    <w:p w:rsidR="00044AF3" w:rsidRDefault="00044AF3" w:rsidP="00044AF3">
      <w:pPr>
        <w:pStyle w:val="Heading4"/>
      </w:pPr>
      <w:r>
        <w:t>If liability is disputed</w:t>
      </w:r>
    </w:p>
    <w:p w:rsidR="006F11EC" w:rsidRDefault="006F11EC" w:rsidP="00044AF3">
      <w:pPr>
        <w:pStyle w:val="BodyText"/>
        <w:spacing w:before="1"/>
        <w:ind w:left="305" w:right="207"/>
        <w:jc w:val="both"/>
      </w:pPr>
    </w:p>
    <w:p w:rsidR="00044AF3" w:rsidRDefault="00044AF3" w:rsidP="00044AF3">
      <w:pPr>
        <w:pStyle w:val="BodyText"/>
        <w:spacing w:before="1"/>
        <w:ind w:left="305" w:right="207"/>
        <w:jc w:val="both"/>
      </w:pPr>
      <w:r>
        <w:t>If a person VWS contacts about a debt claims that they are not the alleged debtor or the debt has been paid or otherwise settled and VWS has not already confirmed their identity and liability, VWS shall suspend further collection activity (including credit report listing) until the debtor‘s identity and ongoing liability have been</w:t>
      </w:r>
      <w:r>
        <w:rPr>
          <w:spacing w:val="-5"/>
        </w:rPr>
        <w:t xml:space="preserve"> </w:t>
      </w:r>
      <w:r>
        <w:t>confirmed.</w:t>
      </w:r>
    </w:p>
    <w:p w:rsidR="00044AF3" w:rsidRDefault="00044AF3" w:rsidP="00044AF3">
      <w:pPr>
        <w:pStyle w:val="Heading4"/>
      </w:pPr>
      <w:r>
        <w:t>Conduct towards the debtor</w:t>
      </w:r>
    </w:p>
    <w:p w:rsidR="006F11EC" w:rsidRDefault="006F11EC" w:rsidP="00044AF3">
      <w:pPr>
        <w:pStyle w:val="BodyText"/>
        <w:spacing w:before="1"/>
        <w:ind w:left="305" w:right="209"/>
        <w:jc w:val="both"/>
      </w:pPr>
    </w:p>
    <w:p w:rsidR="00044AF3" w:rsidRDefault="00044AF3" w:rsidP="00044AF3">
      <w:pPr>
        <w:pStyle w:val="BodyText"/>
        <w:spacing w:before="1"/>
        <w:ind w:left="305" w:right="209"/>
        <w:jc w:val="both"/>
      </w:pPr>
      <w:r>
        <w:t>A debtor is entitled to respect and courtesy, and must not be subject to misleading, humiliating or intimidating conduct. Such conduct is likely to breach the Commonwealth consumer protection laws, and may breach other laws as well.</w:t>
      </w:r>
    </w:p>
    <w:p w:rsidR="00044AF3" w:rsidRDefault="00044AF3" w:rsidP="00044AF3">
      <w:pPr>
        <w:pStyle w:val="BodyText"/>
      </w:pPr>
    </w:p>
    <w:p w:rsidR="00044AF3" w:rsidRDefault="00044AF3" w:rsidP="00044AF3">
      <w:pPr>
        <w:pStyle w:val="BodyText"/>
        <w:spacing w:before="6"/>
        <w:rPr>
          <w:sz w:val="18"/>
        </w:rPr>
      </w:pPr>
    </w:p>
    <w:p w:rsidR="00044AF3" w:rsidRDefault="00044AF3" w:rsidP="00044AF3">
      <w:pPr>
        <w:pStyle w:val="Heading4"/>
        <w:spacing w:before="0"/>
      </w:pPr>
      <w:r>
        <w:t>CUSTOMERS SUFFERING FINANCIAL HARDSHIP</w:t>
      </w:r>
    </w:p>
    <w:p w:rsidR="00044AF3" w:rsidRDefault="00044AF3" w:rsidP="00044AF3">
      <w:pPr>
        <w:pStyle w:val="Heading4"/>
        <w:spacing w:before="1"/>
      </w:pPr>
    </w:p>
    <w:p w:rsidR="00044AF3" w:rsidRDefault="00044AF3" w:rsidP="00044AF3">
      <w:pPr>
        <w:pStyle w:val="Heading4"/>
        <w:spacing w:before="1"/>
      </w:pPr>
      <w:r>
        <w:t>VWS commitment</w:t>
      </w:r>
    </w:p>
    <w:p w:rsidR="006F11EC" w:rsidRDefault="006F11EC" w:rsidP="00044AF3">
      <w:pPr>
        <w:pStyle w:val="BodyText"/>
        <w:spacing w:before="2"/>
        <w:ind w:left="305" w:right="209"/>
        <w:jc w:val="both"/>
      </w:pPr>
    </w:p>
    <w:p w:rsidR="00044AF3" w:rsidRDefault="00044AF3" w:rsidP="00044AF3">
      <w:pPr>
        <w:pStyle w:val="BodyText"/>
        <w:spacing w:before="2"/>
        <w:ind w:left="305" w:right="209"/>
        <w:jc w:val="both"/>
      </w:pPr>
      <w:r>
        <w:t>This code of practice provides for the deferment, in whole or in part, of payments owed by retail customers suffering financial hardship. In such cases of financial hardship VWS shall not enforce disconnection of services in part or in whole.</w:t>
      </w:r>
    </w:p>
    <w:p w:rsidR="00044AF3" w:rsidRDefault="00044AF3" w:rsidP="00044AF3">
      <w:pPr>
        <w:pStyle w:val="BodyText"/>
        <w:spacing w:before="2"/>
        <w:ind w:left="305" w:right="209"/>
        <w:jc w:val="both"/>
      </w:pPr>
    </w:p>
    <w:p w:rsidR="00044AF3" w:rsidRDefault="00044AF3" w:rsidP="00044AF3">
      <w:pPr>
        <w:pStyle w:val="BodyText"/>
        <w:spacing w:before="2"/>
        <w:ind w:left="305" w:right="209"/>
        <w:jc w:val="both"/>
      </w:pPr>
      <w:r>
        <w:t xml:space="preserve">This may not apply to the sole </w:t>
      </w:r>
      <w:proofErr w:type="gramStart"/>
      <w:r>
        <w:t>customer,</w:t>
      </w:r>
      <w:proofErr w:type="gramEnd"/>
      <w:r>
        <w:t xml:space="preserve"> JLL is a </w:t>
      </w:r>
      <w:proofErr w:type="spellStart"/>
      <w:r>
        <w:t>well established</w:t>
      </w:r>
      <w:proofErr w:type="spellEnd"/>
      <w:r>
        <w:t xml:space="preserve"> business, representing Lend Lease Group in terms of all financial obligations.</w:t>
      </w:r>
    </w:p>
    <w:p w:rsidR="00044AF3" w:rsidRDefault="00044AF3" w:rsidP="00044AF3">
      <w:pPr>
        <w:pStyle w:val="Heading4"/>
        <w:spacing w:before="117"/>
      </w:pPr>
    </w:p>
    <w:p w:rsidR="00044AF3" w:rsidRDefault="00044AF3" w:rsidP="00044AF3">
      <w:pPr>
        <w:pStyle w:val="Heading4"/>
        <w:spacing w:before="117"/>
      </w:pPr>
      <w:r>
        <w:t>Debtors</w:t>
      </w:r>
    </w:p>
    <w:p w:rsidR="006F11EC" w:rsidRDefault="006F11EC" w:rsidP="00044AF3">
      <w:pPr>
        <w:pStyle w:val="BodyText"/>
        <w:spacing w:before="3"/>
        <w:ind w:left="305" w:right="205"/>
        <w:jc w:val="both"/>
      </w:pPr>
    </w:p>
    <w:p w:rsidR="00044AF3" w:rsidRDefault="00044AF3" w:rsidP="00044AF3">
      <w:pPr>
        <w:pStyle w:val="BodyText"/>
        <w:spacing w:before="3"/>
        <w:ind w:left="305" w:right="205"/>
        <w:jc w:val="both"/>
      </w:pPr>
      <w:r>
        <w:t xml:space="preserve">Debtors are legally responsible for paying the debts they legitimately owe, and they should not deliberately try to avoid their obligations. Whenever possible, debtors should take action before they get into difficulties. Debtors experiencing financial hardship should promptly contact VWS to negotiate a variation in payments or other arrangement. In seeking a variation, debtors should be candid about their financial position, including their other debts. VWS also recommends that debtors in financial difficulty consider seeking the assistance of a community-based financial counsellor, solicitor or other </w:t>
      </w:r>
      <w:r>
        <w:lastRenderedPageBreak/>
        <w:t>qualified adviser who may be able to help them with a debt negotiation.</w:t>
      </w:r>
    </w:p>
    <w:p w:rsidR="00044AF3" w:rsidRDefault="00044AF3" w:rsidP="00044AF3">
      <w:pPr>
        <w:pStyle w:val="BodyText"/>
        <w:spacing w:before="3"/>
        <w:ind w:left="305" w:right="205"/>
        <w:jc w:val="both"/>
      </w:pPr>
    </w:p>
    <w:p w:rsidR="00044AF3" w:rsidRDefault="00044AF3" w:rsidP="00044AF3">
      <w:pPr>
        <w:pStyle w:val="Heading4"/>
        <w:spacing w:before="118"/>
      </w:pPr>
      <w:r>
        <w:t>Hardship</w:t>
      </w:r>
    </w:p>
    <w:p w:rsidR="006F11EC" w:rsidRDefault="006F11EC" w:rsidP="00044AF3">
      <w:pPr>
        <w:pStyle w:val="BodyText"/>
        <w:spacing w:before="3"/>
        <w:ind w:left="305" w:right="246"/>
      </w:pPr>
    </w:p>
    <w:p w:rsidR="00044AF3" w:rsidRDefault="00044AF3" w:rsidP="00044AF3">
      <w:pPr>
        <w:pStyle w:val="BodyText"/>
        <w:spacing w:before="3"/>
        <w:ind w:left="305" w:right="246"/>
      </w:pPr>
      <w:r>
        <w:t>Proof of financial hardship shall be provided by the relevant customer. Examples of hardship may include but not be limited to:</w:t>
      </w:r>
    </w:p>
    <w:p w:rsidR="00044AF3" w:rsidRDefault="00044AF3" w:rsidP="00044AF3">
      <w:pPr>
        <w:pStyle w:val="ListParagraph"/>
        <w:numPr>
          <w:ilvl w:val="0"/>
          <w:numId w:val="2"/>
        </w:numPr>
        <w:tabs>
          <w:tab w:val="left" w:pos="662"/>
          <w:tab w:val="left" w:pos="663"/>
        </w:tabs>
        <w:spacing w:before="39"/>
        <w:ind w:left="662" w:hanging="357"/>
        <w:rPr>
          <w:rFonts w:ascii="Wingdings"/>
          <w:sz w:val="20"/>
        </w:rPr>
      </w:pPr>
      <w:r>
        <w:rPr>
          <w:sz w:val="20"/>
        </w:rPr>
        <w:t>Commercial difficulties,</w:t>
      </w:r>
    </w:p>
    <w:p w:rsidR="00044AF3" w:rsidRDefault="00044AF3" w:rsidP="00044AF3">
      <w:pPr>
        <w:pStyle w:val="ListParagraph"/>
        <w:numPr>
          <w:ilvl w:val="0"/>
          <w:numId w:val="2"/>
        </w:numPr>
        <w:tabs>
          <w:tab w:val="left" w:pos="662"/>
          <w:tab w:val="left" w:pos="663"/>
        </w:tabs>
        <w:spacing w:before="41"/>
        <w:ind w:left="662" w:hanging="357"/>
        <w:rPr>
          <w:rFonts w:ascii="Wingdings"/>
          <w:sz w:val="20"/>
        </w:rPr>
      </w:pPr>
      <w:r>
        <w:rPr>
          <w:sz w:val="20"/>
        </w:rPr>
        <w:t>other</w:t>
      </w:r>
      <w:r>
        <w:rPr>
          <w:spacing w:val="-2"/>
          <w:sz w:val="20"/>
        </w:rPr>
        <w:t xml:space="preserve"> </w:t>
      </w:r>
      <w:r>
        <w:rPr>
          <w:sz w:val="20"/>
        </w:rPr>
        <w:t>(undefined)</w:t>
      </w:r>
    </w:p>
    <w:p w:rsidR="00044AF3" w:rsidRDefault="00044AF3" w:rsidP="00044AF3">
      <w:pPr>
        <w:pStyle w:val="Heading4"/>
        <w:spacing w:before="116"/>
      </w:pPr>
    </w:p>
    <w:p w:rsidR="00044AF3" w:rsidRDefault="00044AF3" w:rsidP="00044AF3">
      <w:pPr>
        <w:pStyle w:val="Heading4"/>
        <w:spacing w:before="116"/>
      </w:pPr>
      <w:r>
        <w:t>Assistance</w:t>
      </w:r>
    </w:p>
    <w:p w:rsidR="006F11EC" w:rsidRDefault="006F11EC" w:rsidP="00044AF3">
      <w:pPr>
        <w:pStyle w:val="BodyText"/>
        <w:spacing w:before="3"/>
        <w:ind w:left="360"/>
      </w:pPr>
    </w:p>
    <w:p w:rsidR="00044AF3" w:rsidRDefault="00044AF3" w:rsidP="00044AF3">
      <w:pPr>
        <w:pStyle w:val="BodyText"/>
        <w:spacing w:before="3"/>
        <w:ind w:left="360"/>
      </w:pPr>
      <w:r>
        <w:t>Assistance may include one or more of the following:</w:t>
      </w:r>
    </w:p>
    <w:p w:rsidR="00044AF3" w:rsidRDefault="00044AF3" w:rsidP="00044AF3">
      <w:pPr>
        <w:pStyle w:val="ListParagraph"/>
        <w:numPr>
          <w:ilvl w:val="0"/>
          <w:numId w:val="2"/>
        </w:numPr>
        <w:tabs>
          <w:tab w:val="left" w:pos="662"/>
          <w:tab w:val="left" w:pos="663"/>
        </w:tabs>
        <w:spacing w:before="120"/>
        <w:ind w:left="662" w:hanging="357"/>
        <w:rPr>
          <w:rFonts w:ascii="Wingdings"/>
          <w:sz w:val="20"/>
        </w:rPr>
      </w:pPr>
      <w:r>
        <w:rPr>
          <w:sz w:val="20"/>
        </w:rPr>
        <w:t>Deferment of payment for an agreed period of</w:t>
      </w:r>
      <w:r>
        <w:rPr>
          <w:spacing w:val="-1"/>
          <w:sz w:val="20"/>
        </w:rPr>
        <w:t xml:space="preserve"> </w:t>
      </w:r>
      <w:r>
        <w:rPr>
          <w:sz w:val="20"/>
        </w:rPr>
        <w:t>time,</w:t>
      </w:r>
    </w:p>
    <w:p w:rsidR="00044AF3" w:rsidRDefault="00044AF3" w:rsidP="00044AF3">
      <w:pPr>
        <w:pStyle w:val="ListParagraph"/>
        <w:numPr>
          <w:ilvl w:val="0"/>
          <w:numId w:val="2"/>
        </w:numPr>
        <w:tabs>
          <w:tab w:val="left" w:pos="662"/>
          <w:tab w:val="left" w:pos="663"/>
        </w:tabs>
        <w:spacing w:before="39"/>
        <w:ind w:left="662" w:hanging="357"/>
        <w:rPr>
          <w:rFonts w:ascii="Wingdings"/>
          <w:sz w:val="20"/>
        </w:rPr>
      </w:pPr>
      <w:r>
        <w:rPr>
          <w:sz w:val="20"/>
        </w:rPr>
        <w:t>Incremental instalments to recover the debt over</w:t>
      </w:r>
      <w:r>
        <w:rPr>
          <w:spacing w:val="-1"/>
          <w:sz w:val="20"/>
        </w:rPr>
        <w:t xml:space="preserve"> </w:t>
      </w:r>
      <w:r>
        <w:rPr>
          <w:sz w:val="20"/>
        </w:rPr>
        <w:t>time,</w:t>
      </w:r>
    </w:p>
    <w:p w:rsidR="00044AF3" w:rsidRDefault="00044AF3" w:rsidP="00044AF3">
      <w:pPr>
        <w:pStyle w:val="ListParagraph"/>
        <w:numPr>
          <w:ilvl w:val="0"/>
          <w:numId w:val="2"/>
        </w:numPr>
        <w:tabs>
          <w:tab w:val="left" w:pos="662"/>
          <w:tab w:val="left" w:pos="663"/>
        </w:tabs>
        <w:spacing w:before="41"/>
        <w:ind w:left="662" w:right="217" w:hanging="357"/>
        <w:rPr>
          <w:rFonts w:ascii="Wingdings"/>
          <w:sz w:val="20"/>
        </w:rPr>
      </w:pPr>
      <w:r>
        <w:rPr>
          <w:sz w:val="20"/>
        </w:rPr>
        <w:t>Regular smaller payments spread over time to assist budgeting by customers exposed to hardship.</w:t>
      </w:r>
    </w:p>
    <w:p w:rsidR="00044AF3" w:rsidRDefault="00044AF3" w:rsidP="00044AF3">
      <w:pPr>
        <w:pStyle w:val="Heading4"/>
      </w:pPr>
    </w:p>
    <w:p w:rsidR="00044AF3" w:rsidRDefault="00044AF3" w:rsidP="00044AF3">
      <w:pPr>
        <w:pStyle w:val="Heading4"/>
      </w:pPr>
      <w:r>
        <w:t>Waiver</w:t>
      </w:r>
    </w:p>
    <w:p w:rsidR="006F11EC" w:rsidRDefault="006F11EC" w:rsidP="00044AF3">
      <w:pPr>
        <w:pStyle w:val="BodyText"/>
        <w:ind w:left="305" w:right="207"/>
        <w:jc w:val="both"/>
      </w:pPr>
    </w:p>
    <w:p w:rsidR="00044AF3" w:rsidRDefault="00044AF3" w:rsidP="00044AF3">
      <w:pPr>
        <w:pStyle w:val="BodyText"/>
        <w:ind w:left="305" w:right="207"/>
        <w:jc w:val="both"/>
      </w:pPr>
      <w:r>
        <w:t xml:space="preserve">Notwithstanding the above commitment, VWS having taken all steps reasonably practicable in accordance with this code of practice to recover debt and that debt still not paid by the customer may take such further actions as allowable to it in law to recover such debt but not disconnection of services, nor reduce the flow of </w:t>
      </w:r>
      <w:proofErr w:type="spellStart"/>
      <w:r>
        <w:t>non potable</w:t>
      </w:r>
      <w:proofErr w:type="spellEnd"/>
      <w:r>
        <w:t xml:space="preserve"> water below necessary for basic hygiene or restrict the flow of sewage into the</w:t>
      </w:r>
      <w:r>
        <w:rPr>
          <w:spacing w:val="-22"/>
        </w:rPr>
        <w:t xml:space="preserve"> </w:t>
      </w:r>
      <w:r>
        <w:t>main.</w:t>
      </w:r>
    </w:p>
    <w:p w:rsidR="00044AF3" w:rsidRDefault="00044AF3" w:rsidP="00044AF3">
      <w:pPr>
        <w:pStyle w:val="BodyText"/>
        <w:spacing w:before="9"/>
        <w:rPr>
          <w:sz w:val="19"/>
        </w:rPr>
      </w:pPr>
    </w:p>
    <w:p w:rsidR="00044AF3" w:rsidRDefault="00044AF3" w:rsidP="00044AF3">
      <w:pPr>
        <w:pStyle w:val="Heading4"/>
        <w:spacing w:before="1"/>
      </w:pPr>
      <w:r>
        <w:t>DEBTOR DISPUTES AND COMPLAINTS HANDLING</w:t>
      </w:r>
    </w:p>
    <w:p w:rsidR="00044AF3" w:rsidRDefault="00044AF3" w:rsidP="00044AF3">
      <w:pPr>
        <w:pStyle w:val="BodyText"/>
        <w:spacing w:before="3"/>
        <w:ind w:left="305" w:right="246"/>
      </w:pPr>
    </w:p>
    <w:p w:rsidR="00044AF3" w:rsidRDefault="00044AF3" w:rsidP="00044AF3">
      <w:pPr>
        <w:pStyle w:val="BodyText"/>
        <w:spacing w:before="3"/>
        <w:ind w:left="305" w:right="246"/>
      </w:pPr>
      <w:r>
        <w:t>In the event a customer has a compliant regarding the handling of their debt by VWS, VWS shall direct the customer to our complaints handling system.</w:t>
      </w:r>
    </w:p>
    <w:p w:rsidR="00044AF3" w:rsidRDefault="00044AF3" w:rsidP="00044AF3">
      <w:pPr>
        <w:pStyle w:val="BodyText"/>
        <w:ind w:left="305"/>
      </w:pPr>
      <w:r>
        <w:t xml:space="preserve">In the event a customer is not satisfied with the handling of their complaint by VWS, VWS shall direct the customer to the Energy and Water Ombudsman of NSW (EWON) should they wish to take further </w:t>
      </w:r>
      <w:proofErr w:type="gramStart"/>
      <w:r>
        <w:t>action.</w:t>
      </w:r>
      <w:proofErr w:type="gramEnd"/>
    </w:p>
    <w:p w:rsidR="00044AF3" w:rsidRDefault="00044AF3" w:rsidP="00044AF3">
      <w:pPr>
        <w:pStyle w:val="BodyText"/>
        <w:spacing w:before="6"/>
        <w:rPr>
          <w:sz w:val="18"/>
        </w:rPr>
      </w:pPr>
    </w:p>
    <w:p w:rsidR="00044AF3" w:rsidRDefault="00044AF3" w:rsidP="00044AF3">
      <w:pPr>
        <w:ind w:left="305"/>
        <w:rPr>
          <w:b/>
          <w:sz w:val="20"/>
        </w:rPr>
      </w:pPr>
    </w:p>
    <w:sectPr w:rsidR="00044AF3">
      <w:pgSz w:w="11910" w:h="16840"/>
      <w:pgMar w:top="2100" w:right="640" w:bottom="1200" w:left="1680" w:header="1121"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3E3o00">
    <w:panose1 w:val="00000000000000000000"/>
    <w:charset w:val="00"/>
    <w:family w:val="swiss"/>
    <w:notTrueType/>
    <w:pitch w:val="default"/>
    <w:sig w:usb0="00000003" w:usb1="00000000" w:usb2="00000000" w:usb3="00000000" w:csb0="00000001" w:csb1="00000000"/>
  </w:font>
  <w:font w:name="TT3D7o00">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C2"/>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92B69"/>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BA5FD6"/>
    <w:multiLevelType w:val="hybridMultilevel"/>
    <w:tmpl w:val="D80E0A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4D14F6"/>
    <w:multiLevelType w:val="hybridMultilevel"/>
    <w:tmpl w:val="5380CA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A03235"/>
    <w:multiLevelType w:val="hybridMultilevel"/>
    <w:tmpl w:val="BF92CC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884712"/>
    <w:multiLevelType w:val="hybridMultilevel"/>
    <w:tmpl w:val="A4B8CB84"/>
    <w:lvl w:ilvl="0" w:tplc="26FABB9E">
      <w:numFmt w:val="bullet"/>
      <w:lvlText w:val=""/>
      <w:lvlJc w:val="left"/>
      <w:pPr>
        <w:ind w:left="665" w:hanging="360"/>
      </w:pPr>
      <w:rPr>
        <w:rFonts w:hint="default"/>
        <w:w w:val="99"/>
        <w:lang w:val="en-AU" w:eastAsia="en-AU" w:bidi="en-AU"/>
      </w:rPr>
    </w:lvl>
    <w:lvl w:ilvl="1" w:tplc="14B49C40">
      <w:numFmt w:val="bullet"/>
      <w:lvlText w:val="o"/>
      <w:lvlJc w:val="left"/>
      <w:pPr>
        <w:ind w:left="1013" w:hanging="425"/>
      </w:pPr>
      <w:rPr>
        <w:rFonts w:ascii="Courier New" w:eastAsia="Courier New" w:hAnsi="Courier New" w:cs="Courier New" w:hint="default"/>
        <w:w w:val="99"/>
        <w:sz w:val="20"/>
        <w:szCs w:val="20"/>
        <w:lang w:val="en-AU" w:eastAsia="en-AU" w:bidi="en-AU"/>
      </w:rPr>
    </w:lvl>
    <w:lvl w:ilvl="2" w:tplc="CEA06A1A">
      <w:numFmt w:val="bullet"/>
      <w:lvlText w:val="•"/>
      <w:lvlJc w:val="left"/>
      <w:pPr>
        <w:ind w:left="1971" w:hanging="425"/>
      </w:pPr>
      <w:rPr>
        <w:rFonts w:hint="default"/>
        <w:lang w:val="en-AU" w:eastAsia="en-AU" w:bidi="en-AU"/>
      </w:rPr>
    </w:lvl>
    <w:lvl w:ilvl="3" w:tplc="07328AFC">
      <w:numFmt w:val="bullet"/>
      <w:lvlText w:val="•"/>
      <w:lvlJc w:val="left"/>
      <w:pPr>
        <w:ind w:left="2923" w:hanging="425"/>
      </w:pPr>
      <w:rPr>
        <w:rFonts w:hint="default"/>
        <w:lang w:val="en-AU" w:eastAsia="en-AU" w:bidi="en-AU"/>
      </w:rPr>
    </w:lvl>
    <w:lvl w:ilvl="4" w:tplc="7D72E98A">
      <w:numFmt w:val="bullet"/>
      <w:lvlText w:val="•"/>
      <w:lvlJc w:val="left"/>
      <w:pPr>
        <w:ind w:left="3875" w:hanging="425"/>
      </w:pPr>
      <w:rPr>
        <w:rFonts w:hint="default"/>
        <w:lang w:val="en-AU" w:eastAsia="en-AU" w:bidi="en-AU"/>
      </w:rPr>
    </w:lvl>
    <w:lvl w:ilvl="5" w:tplc="E244FFBE">
      <w:numFmt w:val="bullet"/>
      <w:lvlText w:val="•"/>
      <w:lvlJc w:val="left"/>
      <w:pPr>
        <w:ind w:left="4827" w:hanging="425"/>
      </w:pPr>
      <w:rPr>
        <w:rFonts w:hint="default"/>
        <w:lang w:val="en-AU" w:eastAsia="en-AU" w:bidi="en-AU"/>
      </w:rPr>
    </w:lvl>
    <w:lvl w:ilvl="6" w:tplc="DD5A6F94">
      <w:numFmt w:val="bullet"/>
      <w:lvlText w:val="•"/>
      <w:lvlJc w:val="left"/>
      <w:pPr>
        <w:ind w:left="5779" w:hanging="425"/>
      </w:pPr>
      <w:rPr>
        <w:rFonts w:hint="default"/>
        <w:lang w:val="en-AU" w:eastAsia="en-AU" w:bidi="en-AU"/>
      </w:rPr>
    </w:lvl>
    <w:lvl w:ilvl="7" w:tplc="E0C0C8CE">
      <w:numFmt w:val="bullet"/>
      <w:lvlText w:val="•"/>
      <w:lvlJc w:val="left"/>
      <w:pPr>
        <w:ind w:left="6730" w:hanging="425"/>
      </w:pPr>
      <w:rPr>
        <w:rFonts w:hint="default"/>
        <w:lang w:val="en-AU" w:eastAsia="en-AU" w:bidi="en-AU"/>
      </w:rPr>
    </w:lvl>
    <w:lvl w:ilvl="8" w:tplc="37C2565C">
      <w:numFmt w:val="bullet"/>
      <w:lvlText w:val="•"/>
      <w:lvlJc w:val="left"/>
      <w:pPr>
        <w:ind w:left="7682" w:hanging="425"/>
      </w:pPr>
      <w:rPr>
        <w:rFonts w:hint="default"/>
        <w:lang w:val="en-AU" w:eastAsia="en-AU" w:bidi="en-AU"/>
      </w:rPr>
    </w:lvl>
  </w:abstractNum>
  <w:abstractNum w:abstractNumId="6">
    <w:nsid w:val="722E298F"/>
    <w:multiLevelType w:val="hybridMultilevel"/>
    <w:tmpl w:val="CF72CE3A"/>
    <w:lvl w:ilvl="0" w:tplc="0C09000F">
      <w:start w:val="1"/>
      <w:numFmt w:val="decimal"/>
      <w:lvlText w:val="%1."/>
      <w:lvlJc w:val="left"/>
      <w:pPr>
        <w:ind w:left="360" w:hanging="360"/>
      </w:pPr>
    </w:lvl>
    <w:lvl w:ilvl="1" w:tplc="C612296E">
      <w:start w:val="1"/>
      <w:numFmt w:val="decimal"/>
      <w:lvlText w:val="2.%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B843DCB"/>
    <w:multiLevelType w:val="hybridMultilevel"/>
    <w:tmpl w:val="B4CEC89E"/>
    <w:lvl w:ilvl="0" w:tplc="09460A5A">
      <w:start w:val="1"/>
      <w:numFmt w:val="lowerLetter"/>
      <w:lvlText w:val="(%1)"/>
      <w:lvlJc w:val="left"/>
      <w:pPr>
        <w:ind w:left="662" w:hanging="358"/>
      </w:pPr>
      <w:rPr>
        <w:rFonts w:ascii="Arial" w:eastAsia="Arial" w:hAnsi="Arial" w:cs="Arial" w:hint="default"/>
        <w:w w:val="99"/>
        <w:sz w:val="20"/>
        <w:szCs w:val="20"/>
        <w:lang w:val="en-AU" w:eastAsia="en-AU" w:bidi="en-AU"/>
      </w:rPr>
    </w:lvl>
    <w:lvl w:ilvl="1" w:tplc="7482FDEA">
      <w:start w:val="1"/>
      <w:numFmt w:val="lowerRoman"/>
      <w:lvlText w:val="%2."/>
      <w:lvlJc w:val="left"/>
      <w:pPr>
        <w:ind w:left="1025" w:hanging="396"/>
      </w:pPr>
      <w:rPr>
        <w:rFonts w:ascii="Arial" w:eastAsia="Arial" w:hAnsi="Arial" w:cs="Arial" w:hint="default"/>
        <w:spacing w:val="-2"/>
        <w:w w:val="99"/>
        <w:sz w:val="20"/>
        <w:szCs w:val="20"/>
        <w:lang w:val="en-AU" w:eastAsia="en-AU" w:bidi="en-AU"/>
      </w:rPr>
    </w:lvl>
    <w:lvl w:ilvl="2" w:tplc="AD84536A">
      <w:numFmt w:val="bullet"/>
      <w:lvlText w:val="•"/>
      <w:lvlJc w:val="left"/>
      <w:pPr>
        <w:ind w:left="1971" w:hanging="396"/>
      </w:pPr>
      <w:rPr>
        <w:rFonts w:hint="default"/>
        <w:lang w:val="en-AU" w:eastAsia="en-AU" w:bidi="en-AU"/>
      </w:rPr>
    </w:lvl>
    <w:lvl w:ilvl="3" w:tplc="709C9C78">
      <w:numFmt w:val="bullet"/>
      <w:lvlText w:val="•"/>
      <w:lvlJc w:val="left"/>
      <w:pPr>
        <w:ind w:left="2923" w:hanging="396"/>
      </w:pPr>
      <w:rPr>
        <w:rFonts w:hint="default"/>
        <w:lang w:val="en-AU" w:eastAsia="en-AU" w:bidi="en-AU"/>
      </w:rPr>
    </w:lvl>
    <w:lvl w:ilvl="4" w:tplc="203E4116">
      <w:numFmt w:val="bullet"/>
      <w:lvlText w:val="•"/>
      <w:lvlJc w:val="left"/>
      <w:pPr>
        <w:ind w:left="3875" w:hanging="396"/>
      </w:pPr>
      <w:rPr>
        <w:rFonts w:hint="default"/>
        <w:lang w:val="en-AU" w:eastAsia="en-AU" w:bidi="en-AU"/>
      </w:rPr>
    </w:lvl>
    <w:lvl w:ilvl="5" w:tplc="7D68A678">
      <w:numFmt w:val="bullet"/>
      <w:lvlText w:val="•"/>
      <w:lvlJc w:val="left"/>
      <w:pPr>
        <w:ind w:left="4827" w:hanging="396"/>
      </w:pPr>
      <w:rPr>
        <w:rFonts w:hint="default"/>
        <w:lang w:val="en-AU" w:eastAsia="en-AU" w:bidi="en-AU"/>
      </w:rPr>
    </w:lvl>
    <w:lvl w:ilvl="6" w:tplc="C9E4AEA4">
      <w:numFmt w:val="bullet"/>
      <w:lvlText w:val="•"/>
      <w:lvlJc w:val="left"/>
      <w:pPr>
        <w:ind w:left="5779" w:hanging="396"/>
      </w:pPr>
      <w:rPr>
        <w:rFonts w:hint="default"/>
        <w:lang w:val="en-AU" w:eastAsia="en-AU" w:bidi="en-AU"/>
      </w:rPr>
    </w:lvl>
    <w:lvl w:ilvl="7" w:tplc="521EC592">
      <w:numFmt w:val="bullet"/>
      <w:lvlText w:val="•"/>
      <w:lvlJc w:val="left"/>
      <w:pPr>
        <w:ind w:left="6730" w:hanging="396"/>
      </w:pPr>
      <w:rPr>
        <w:rFonts w:hint="default"/>
        <w:lang w:val="en-AU" w:eastAsia="en-AU" w:bidi="en-AU"/>
      </w:rPr>
    </w:lvl>
    <w:lvl w:ilvl="8" w:tplc="F0D602D6">
      <w:numFmt w:val="bullet"/>
      <w:lvlText w:val="•"/>
      <w:lvlJc w:val="left"/>
      <w:pPr>
        <w:ind w:left="7682" w:hanging="396"/>
      </w:pPr>
      <w:rPr>
        <w:rFonts w:hint="default"/>
        <w:lang w:val="en-AU" w:eastAsia="en-AU" w:bidi="en-AU"/>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3"/>
    <w:rsid w:val="00044AF3"/>
    <w:rsid w:val="004410AF"/>
    <w:rsid w:val="006F11EC"/>
    <w:rsid w:val="008A786E"/>
    <w:rsid w:val="00BE74D7"/>
    <w:rsid w:val="00D0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AF3"/>
    <w:pPr>
      <w:widowControl w:val="0"/>
      <w:autoSpaceDE w:val="0"/>
      <w:autoSpaceDN w:val="0"/>
      <w:spacing w:after="0" w:line="240" w:lineRule="auto"/>
    </w:pPr>
    <w:rPr>
      <w:rFonts w:ascii="Arial" w:eastAsia="Arial" w:hAnsi="Arial" w:cs="Arial"/>
      <w:lang w:eastAsia="en-AU" w:bidi="en-AU"/>
    </w:rPr>
  </w:style>
  <w:style w:type="paragraph" w:styleId="Heading4">
    <w:name w:val="heading 4"/>
    <w:basedOn w:val="Normal"/>
    <w:link w:val="Heading4Char"/>
    <w:uiPriority w:val="1"/>
    <w:qFormat/>
    <w:rsid w:val="00044AF3"/>
    <w:pPr>
      <w:spacing w:before="119"/>
      <w:ind w:left="30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44AF3"/>
    <w:rPr>
      <w:rFonts w:ascii="Arial" w:eastAsia="Arial" w:hAnsi="Arial" w:cs="Arial"/>
      <w:b/>
      <w:bCs/>
      <w:sz w:val="20"/>
      <w:szCs w:val="20"/>
      <w:lang w:eastAsia="en-AU" w:bidi="en-AU"/>
    </w:rPr>
  </w:style>
  <w:style w:type="paragraph" w:styleId="BodyText">
    <w:name w:val="Body Text"/>
    <w:basedOn w:val="Normal"/>
    <w:link w:val="BodyTextChar"/>
    <w:uiPriority w:val="1"/>
    <w:qFormat/>
    <w:rsid w:val="00044AF3"/>
    <w:rPr>
      <w:sz w:val="20"/>
      <w:szCs w:val="20"/>
    </w:rPr>
  </w:style>
  <w:style w:type="character" w:customStyle="1" w:styleId="BodyTextChar">
    <w:name w:val="Body Text Char"/>
    <w:basedOn w:val="DefaultParagraphFont"/>
    <w:link w:val="BodyText"/>
    <w:uiPriority w:val="1"/>
    <w:rsid w:val="00044AF3"/>
    <w:rPr>
      <w:rFonts w:ascii="Arial" w:eastAsia="Arial" w:hAnsi="Arial" w:cs="Arial"/>
      <w:sz w:val="20"/>
      <w:szCs w:val="20"/>
      <w:lang w:eastAsia="en-AU" w:bidi="en-AU"/>
    </w:rPr>
  </w:style>
  <w:style w:type="paragraph" w:styleId="ListParagraph">
    <w:name w:val="List Paragraph"/>
    <w:basedOn w:val="Normal"/>
    <w:link w:val="ListParagraphChar"/>
    <w:uiPriority w:val="34"/>
    <w:qFormat/>
    <w:rsid w:val="00044AF3"/>
    <w:pPr>
      <w:ind w:left="662" w:hanging="357"/>
    </w:pPr>
  </w:style>
  <w:style w:type="paragraph" w:customStyle="1" w:styleId="TableParagraph">
    <w:name w:val="Table Paragraph"/>
    <w:basedOn w:val="Normal"/>
    <w:uiPriority w:val="1"/>
    <w:qFormat/>
    <w:rsid w:val="00044AF3"/>
  </w:style>
  <w:style w:type="character" w:customStyle="1" w:styleId="ListParagraphChar">
    <w:name w:val="List Paragraph Char"/>
    <w:basedOn w:val="DefaultParagraphFont"/>
    <w:link w:val="ListParagraph"/>
    <w:uiPriority w:val="34"/>
    <w:rsid w:val="00044AF3"/>
    <w:rPr>
      <w:rFonts w:ascii="Arial" w:eastAsia="Arial" w:hAnsi="Arial" w:cs="Arial"/>
      <w:lang w:eastAsia="en-AU" w:bidi="en-AU"/>
    </w:rPr>
  </w:style>
  <w:style w:type="character" w:styleId="CommentReference">
    <w:name w:val="annotation reference"/>
    <w:basedOn w:val="DefaultParagraphFont"/>
    <w:unhideWhenUsed/>
    <w:rsid w:val="00044AF3"/>
    <w:rPr>
      <w:sz w:val="16"/>
      <w:szCs w:val="16"/>
    </w:rPr>
  </w:style>
  <w:style w:type="paragraph" w:styleId="CommentText">
    <w:name w:val="annotation text"/>
    <w:basedOn w:val="Normal"/>
    <w:link w:val="CommentTextChar"/>
    <w:unhideWhenUsed/>
    <w:rsid w:val="00044AF3"/>
    <w:rPr>
      <w:sz w:val="20"/>
      <w:szCs w:val="20"/>
    </w:rPr>
  </w:style>
  <w:style w:type="character" w:customStyle="1" w:styleId="CommentTextChar">
    <w:name w:val="Comment Text Char"/>
    <w:basedOn w:val="DefaultParagraphFont"/>
    <w:link w:val="CommentText"/>
    <w:rsid w:val="00044AF3"/>
    <w:rPr>
      <w:rFonts w:ascii="Arial" w:eastAsia="Arial" w:hAnsi="Arial" w:cs="Arial"/>
      <w:sz w:val="20"/>
      <w:szCs w:val="20"/>
      <w:lang w:eastAsia="en-AU" w:bidi="en-AU"/>
    </w:rPr>
  </w:style>
  <w:style w:type="paragraph" w:styleId="BalloonText">
    <w:name w:val="Balloon Text"/>
    <w:basedOn w:val="Normal"/>
    <w:link w:val="BalloonTextChar"/>
    <w:uiPriority w:val="99"/>
    <w:semiHidden/>
    <w:unhideWhenUsed/>
    <w:rsid w:val="00044AF3"/>
    <w:rPr>
      <w:rFonts w:ascii="Tahoma" w:hAnsi="Tahoma" w:cs="Tahoma"/>
      <w:sz w:val="16"/>
      <w:szCs w:val="16"/>
    </w:rPr>
  </w:style>
  <w:style w:type="character" w:customStyle="1" w:styleId="BalloonTextChar">
    <w:name w:val="Balloon Text Char"/>
    <w:basedOn w:val="DefaultParagraphFont"/>
    <w:link w:val="BalloonText"/>
    <w:uiPriority w:val="99"/>
    <w:semiHidden/>
    <w:rsid w:val="00044AF3"/>
    <w:rPr>
      <w:rFonts w:ascii="Tahoma" w:eastAsia="Arial" w:hAnsi="Tahoma" w:cs="Tahoma"/>
      <w:sz w:val="16"/>
      <w:szCs w:val="16"/>
      <w:lang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4AF3"/>
    <w:pPr>
      <w:widowControl w:val="0"/>
      <w:autoSpaceDE w:val="0"/>
      <w:autoSpaceDN w:val="0"/>
      <w:spacing w:after="0" w:line="240" w:lineRule="auto"/>
    </w:pPr>
    <w:rPr>
      <w:rFonts w:ascii="Arial" w:eastAsia="Arial" w:hAnsi="Arial" w:cs="Arial"/>
      <w:lang w:eastAsia="en-AU" w:bidi="en-AU"/>
    </w:rPr>
  </w:style>
  <w:style w:type="paragraph" w:styleId="Heading4">
    <w:name w:val="heading 4"/>
    <w:basedOn w:val="Normal"/>
    <w:link w:val="Heading4Char"/>
    <w:uiPriority w:val="1"/>
    <w:qFormat/>
    <w:rsid w:val="00044AF3"/>
    <w:pPr>
      <w:spacing w:before="119"/>
      <w:ind w:left="30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44AF3"/>
    <w:rPr>
      <w:rFonts w:ascii="Arial" w:eastAsia="Arial" w:hAnsi="Arial" w:cs="Arial"/>
      <w:b/>
      <w:bCs/>
      <w:sz w:val="20"/>
      <w:szCs w:val="20"/>
      <w:lang w:eastAsia="en-AU" w:bidi="en-AU"/>
    </w:rPr>
  </w:style>
  <w:style w:type="paragraph" w:styleId="BodyText">
    <w:name w:val="Body Text"/>
    <w:basedOn w:val="Normal"/>
    <w:link w:val="BodyTextChar"/>
    <w:uiPriority w:val="1"/>
    <w:qFormat/>
    <w:rsid w:val="00044AF3"/>
    <w:rPr>
      <w:sz w:val="20"/>
      <w:szCs w:val="20"/>
    </w:rPr>
  </w:style>
  <w:style w:type="character" w:customStyle="1" w:styleId="BodyTextChar">
    <w:name w:val="Body Text Char"/>
    <w:basedOn w:val="DefaultParagraphFont"/>
    <w:link w:val="BodyText"/>
    <w:uiPriority w:val="1"/>
    <w:rsid w:val="00044AF3"/>
    <w:rPr>
      <w:rFonts w:ascii="Arial" w:eastAsia="Arial" w:hAnsi="Arial" w:cs="Arial"/>
      <w:sz w:val="20"/>
      <w:szCs w:val="20"/>
      <w:lang w:eastAsia="en-AU" w:bidi="en-AU"/>
    </w:rPr>
  </w:style>
  <w:style w:type="paragraph" w:styleId="ListParagraph">
    <w:name w:val="List Paragraph"/>
    <w:basedOn w:val="Normal"/>
    <w:link w:val="ListParagraphChar"/>
    <w:uiPriority w:val="34"/>
    <w:qFormat/>
    <w:rsid w:val="00044AF3"/>
    <w:pPr>
      <w:ind w:left="662" w:hanging="357"/>
    </w:pPr>
  </w:style>
  <w:style w:type="paragraph" w:customStyle="1" w:styleId="TableParagraph">
    <w:name w:val="Table Paragraph"/>
    <w:basedOn w:val="Normal"/>
    <w:uiPriority w:val="1"/>
    <w:qFormat/>
    <w:rsid w:val="00044AF3"/>
  </w:style>
  <w:style w:type="character" w:customStyle="1" w:styleId="ListParagraphChar">
    <w:name w:val="List Paragraph Char"/>
    <w:basedOn w:val="DefaultParagraphFont"/>
    <w:link w:val="ListParagraph"/>
    <w:uiPriority w:val="34"/>
    <w:rsid w:val="00044AF3"/>
    <w:rPr>
      <w:rFonts w:ascii="Arial" w:eastAsia="Arial" w:hAnsi="Arial" w:cs="Arial"/>
      <w:lang w:eastAsia="en-AU" w:bidi="en-AU"/>
    </w:rPr>
  </w:style>
  <w:style w:type="character" w:styleId="CommentReference">
    <w:name w:val="annotation reference"/>
    <w:basedOn w:val="DefaultParagraphFont"/>
    <w:unhideWhenUsed/>
    <w:rsid w:val="00044AF3"/>
    <w:rPr>
      <w:sz w:val="16"/>
      <w:szCs w:val="16"/>
    </w:rPr>
  </w:style>
  <w:style w:type="paragraph" w:styleId="CommentText">
    <w:name w:val="annotation text"/>
    <w:basedOn w:val="Normal"/>
    <w:link w:val="CommentTextChar"/>
    <w:unhideWhenUsed/>
    <w:rsid w:val="00044AF3"/>
    <w:rPr>
      <w:sz w:val="20"/>
      <w:szCs w:val="20"/>
    </w:rPr>
  </w:style>
  <w:style w:type="character" w:customStyle="1" w:styleId="CommentTextChar">
    <w:name w:val="Comment Text Char"/>
    <w:basedOn w:val="DefaultParagraphFont"/>
    <w:link w:val="CommentText"/>
    <w:rsid w:val="00044AF3"/>
    <w:rPr>
      <w:rFonts w:ascii="Arial" w:eastAsia="Arial" w:hAnsi="Arial" w:cs="Arial"/>
      <w:sz w:val="20"/>
      <w:szCs w:val="20"/>
      <w:lang w:eastAsia="en-AU" w:bidi="en-AU"/>
    </w:rPr>
  </w:style>
  <w:style w:type="paragraph" w:styleId="BalloonText">
    <w:name w:val="Balloon Text"/>
    <w:basedOn w:val="Normal"/>
    <w:link w:val="BalloonTextChar"/>
    <w:uiPriority w:val="99"/>
    <w:semiHidden/>
    <w:unhideWhenUsed/>
    <w:rsid w:val="00044AF3"/>
    <w:rPr>
      <w:rFonts w:ascii="Tahoma" w:hAnsi="Tahoma" w:cs="Tahoma"/>
      <w:sz w:val="16"/>
      <w:szCs w:val="16"/>
    </w:rPr>
  </w:style>
  <w:style w:type="character" w:customStyle="1" w:styleId="BalloonTextChar">
    <w:name w:val="Balloon Text Char"/>
    <w:basedOn w:val="DefaultParagraphFont"/>
    <w:link w:val="BalloonText"/>
    <w:uiPriority w:val="99"/>
    <w:semiHidden/>
    <w:rsid w:val="00044AF3"/>
    <w:rPr>
      <w:rFonts w:ascii="Tahoma" w:eastAsia="Arial" w:hAnsi="Tahoma" w:cs="Tahoma"/>
      <w:sz w:val="16"/>
      <w:szCs w:val="16"/>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Veolia Water Australia</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 Subrat</dc:creator>
  <cp:lastModifiedBy>Kar, Subrat</cp:lastModifiedBy>
  <cp:revision>2</cp:revision>
  <dcterms:created xsi:type="dcterms:W3CDTF">2020-03-09T04:26:00Z</dcterms:created>
  <dcterms:modified xsi:type="dcterms:W3CDTF">2020-03-09T04:26:00Z</dcterms:modified>
</cp:coreProperties>
</file>